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0d4df11b4886aab39677143e68c792ca99826d2"/>
    <w:p>
      <w:pPr>
        <w:pStyle w:val="Heading1"/>
      </w:pPr>
      <w:r>
        <w:t xml:space="preserve">Experiment Protocol: Chemical Engineer - New Zealand Wellington</w:t>
      </w:r>
    </w:p>
    <w:p>
      <w:pPr>
        <w:pStyle w:val="FirstParagraph"/>
      </w:pPr>
      <w:r>
        <w:rPr>
          <w:bCs/>
          <w:b/>
        </w:rPr>
        <w:t xml:space="preserve">Document ID:</w:t>
      </w:r>
      <w:r>
        <w:t xml:space="preserve"> </w:t>
      </w:r>
      <w:r>
        <w:t xml:space="preserve">NZ-WLG-CE-EP-2024-001</w:t>
      </w:r>
    </w:p>
    <w:p>
      <w:pPr>
        <w:pStyle w:val="BodyText"/>
      </w:pPr>
      <w:r>
        <w:rPr>
          <w:bCs/>
          <w:b/>
        </w:rPr>
        <w:t xml:space="preserve">Location:</w:t>
      </w:r>
      <w:r>
        <w:t xml:space="preserve"> </w:t>
      </w:r>
      <w:r>
        <w:t xml:space="preserve">Wellington, New Zealand</w:t>
      </w:r>
    </w:p>
    <w:p>
      <w:pPr>
        <w:pStyle w:val="BodyText"/>
      </w:pPr>
      <w:r>
        <w:rPr>
          <w:bCs/>
          <w:b/>
        </w:rPr>
        <w:t xml:space="preserve">Prepared by:</w:t>
      </w:r>
      <w:r>
        <w:t xml:space="preserve"> </w:t>
      </w:r>
      <w:r>
        <w:t xml:space="preserve">Chemical Engineer</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End w:id="20"/>
    <w:bookmarkStart w:id="21" w:name="purpose"/>
    <w:p>
      <w:pPr>
        <w:pStyle w:val="Heading2"/>
      </w:pPr>
      <w:r>
        <w:t xml:space="preserve">1. Purpose</w:t>
      </w:r>
    </w:p>
    <w:p>
      <w:pPr>
        <w:pStyle w:val="FirstParagraph"/>
      </w:pPr>
      <w:r>
        <w:t xml:space="preserve">This Experiment Protocol outlines the procedures, safety measures, and technical requirements for conducting chemical engineering experiments in Wellington, New Zealand. The protocol is designed to ensure compliance with local regulations, maintain high safety standards, and achieve accurate and reproducible results. It is intended for use by Chemical Engineers and laboratory personnel operating within Wellington's industrial and research facilities.</w:t>
      </w:r>
    </w:p>
    <w:bookmarkEnd w:id="21"/>
    <w:bookmarkStart w:id="22" w:name="scope"/>
    <w:p>
      <w:pPr>
        <w:pStyle w:val="Heading2"/>
      </w:pPr>
      <w:r>
        <w:t xml:space="preserve">2. Scope</w:t>
      </w:r>
    </w:p>
    <w:p>
      <w:pPr>
        <w:pStyle w:val="FirstParagraph"/>
      </w:pPr>
      <w:r>
        <w:t xml:space="preserve">This protocol applies to all chemical engineering experiments conducted in Wellington, New Zealand, including but not limited to:</w:t>
      </w:r>
    </w:p>
    <w:p>
      <w:pPr>
        <w:numPr>
          <w:ilvl w:val="0"/>
          <w:numId w:val="1001"/>
        </w:numPr>
        <w:pStyle w:val="Compact"/>
      </w:pPr>
      <w:r>
        <w:t xml:space="preserve">Process optimization studies</w:t>
      </w:r>
    </w:p>
    <w:p>
      <w:pPr>
        <w:numPr>
          <w:ilvl w:val="0"/>
          <w:numId w:val="1001"/>
        </w:numPr>
        <w:pStyle w:val="Compact"/>
      </w:pPr>
      <w:r>
        <w:t xml:space="preserve">Material testing and characterization</w:t>
      </w:r>
    </w:p>
    <w:p>
      <w:pPr>
        <w:numPr>
          <w:ilvl w:val="0"/>
          <w:numId w:val="1001"/>
        </w:numPr>
        <w:pStyle w:val="Compact"/>
      </w:pPr>
      <w:r>
        <w:t xml:space="preserve">Reaction kinetics experiments</w:t>
      </w:r>
    </w:p>
    <w:p>
      <w:pPr>
        <w:numPr>
          <w:ilvl w:val="0"/>
          <w:numId w:val="1001"/>
        </w:numPr>
        <w:pStyle w:val="Compact"/>
      </w:pPr>
      <w:r>
        <w:t xml:space="preserve">Environmental impact assessments</w:t>
      </w:r>
    </w:p>
    <w:p>
      <w:pPr>
        <w:pStyle w:val="FirstParagraph"/>
      </w:pPr>
      <w:r>
        <w:t xml:space="preserve">All personnel involved in these experiments must adhere to the guidelines set forth in this document.</w:t>
      </w:r>
    </w:p>
    <w:bookmarkEnd w:id="22"/>
    <w:bookmarkStart w:id="23" w:name="regulatory-compliance"/>
    <w:p>
      <w:pPr>
        <w:pStyle w:val="Heading2"/>
      </w:pPr>
      <w:r>
        <w:t xml:space="preserve">3. Regulatory Compliance</w:t>
      </w:r>
    </w:p>
    <w:p>
      <w:pPr>
        <w:pStyle w:val="FirstParagraph"/>
      </w:pPr>
      <w:r>
        <w:t xml:space="preserve">All experiments must comply with the following New Zealand regulations and standards:</w:t>
      </w:r>
    </w:p>
    <w:p>
      <w:pPr>
        <w:numPr>
          <w:ilvl w:val="0"/>
          <w:numId w:val="1002"/>
        </w:numPr>
        <w:pStyle w:val="Compact"/>
      </w:pPr>
      <w:r>
        <w:t xml:space="preserve">Health and Safety at Work Act 2015</w:t>
      </w:r>
    </w:p>
    <w:p>
      <w:pPr>
        <w:numPr>
          <w:ilvl w:val="0"/>
          <w:numId w:val="1002"/>
        </w:numPr>
        <w:pStyle w:val="Compact"/>
      </w:pPr>
      <w:r>
        <w:t xml:space="preserve">Hazardous Substances and New Organisms Act 1996</w:t>
      </w:r>
    </w:p>
    <w:p>
      <w:pPr>
        <w:numPr>
          <w:ilvl w:val="0"/>
          <w:numId w:val="1002"/>
        </w:numPr>
        <w:pStyle w:val="Compact"/>
      </w:pPr>
      <w:r>
        <w:t xml:space="preserve">Resource Management Act 1991</w:t>
      </w:r>
    </w:p>
    <w:p>
      <w:pPr>
        <w:numPr>
          <w:ilvl w:val="0"/>
          <w:numId w:val="1002"/>
        </w:numPr>
        <w:pStyle w:val="Compact"/>
      </w:pPr>
      <w:r>
        <w:t xml:space="preserve">Wellington City Council bylaws</w:t>
      </w:r>
    </w:p>
    <w:p>
      <w:pPr>
        <w:pStyle w:val="FirstParagraph"/>
      </w:pPr>
      <w:r>
        <w:t xml:space="preserve">Chemical Engineers must ensure that all hazardous substances are properly labeled, stored, and disposed of according to these regulations.</w:t>
      </w:r>
    </w:p>
    <w:bookmarkEnd w:id="23"/>
    <w:bookmarkStart w:id="26" w:name="safety-procedures"/>
    <w:p>
      <w:pPr>
        <w:pStyle w:val="Heading2"/>
      </w:pPr>
      <w:r>
        <w:t xml:space="preserve">4. Safety Procedures</w:t>
      </w:r>
    </w:p>
    <w:bookmarkStart w:id="24" w:name="personal-protective-equipment-ppe"/>
    <w:p>
      <w:pPr>
        <w:pStyle w:val="Heading3"/>
      </w:pPr>
      <w:r>
        <w:t xml:space="preserve">4.1 Personal Protective Equipment (PPE)</w:t>
      </w:r>
    </w:p>
    <w:p>
      <w:pPr>
        <w:pStyle w:val="FirstParagraph"/>
      </w:pPr>
      <w:r>
        <w:t xml:space="preserve">All personnel must wear appropriate PPE, including:</w:t>
      </w:r>
    </w:p>
    <w:p>
      <w:pPr>
        <w:numPr>
          <w:ilvl w:val="0"/>
          <w:numId w:val="1003"/>
        </w:numPr>
        <w:pStyle w:val="Compact"/>
      </w:pPr>
      <w:r>
        <w:t xml:space="preserve">Safety goggles</w:t>
      </w:r>
    </w:p>
    <w:p>
      <w:pPr>
        <w:numPr>
          <w:ilvl w:val="0"/>
          <w:numId w:val="1003"/>
        </w:numPr>
        <w:pStyle w:val="Compact"/>
      </w:pPr>
      <w:r>
        <w:t xml:space="preserve">Lab coats</w:t>
      </w:r>
    </w:p>
    <w:p>
      <w:pPr>
        <w:numPr>
          <w:ilvl w:val="0"/>
          <w:numId w:val="1003"/>
        </w:numPr>
        <w:pStyle w:val="Compact"/>
      </w:pPr>
      <w:r>
        <w:t xml:space="preserve">Gloves (chemical-resistant)</w:t>
      </w:r>
    </w:p>
    <w:p>
      <w:pPr>
        <w:numPr>
          <w:ilvl w:val="0"/>
          <w:numId w:val="1003"/>
        </w:numPr>
        <w:pStyle w:val="Compact"/>
      </w:pPr>
      <w:r>
        <w:t xml:space="preserve">Closed-toe shoes</w:t>
      </w:r>
    </w:p>
    <w:bookmarkEnd w:id="24"/>
    <w:bookmarkStart w:id="25" w:name="emergency-procedures"/>
    <w:p>
      <w:pPr>
        <w:pStyle w:val="Heading3"/>
      </w:pPr>
      <w:r>
        <w:t xml:space="preserve">4.2 Emergency Procedures</w:t>
      </w:r>
    </w:p>
    <w:p>
      <w:pPr>
        <w:pStyle w:val="FirstParagraph"/>
      </w:pPr>
      <w:r>
        <w:t xml:space="preserve">In the event of an emergency, personnel must:</w:t>
      </w:r>
    </w:p>
    <w:p>
      <w:pPr>
        <w:numPr>
          <w:ilvl w:val="0"/>
          <w:numId w:val="1004"/>
        </w:numPr>
        <w:pStyle w:val="Compact"/>
      </w:pPr>
      <w:r>
        <w:t xml:space="preserve">Evacuate the laboratory immediately.</w:t>
      </w:r>
    </w:p>
    <w:p>
      <w:pPr>
        <w:numPr>
          <w:ilvl w:val="0"/>
          <w:numId w:val="1004"/>
        </w:numPr>
        <w:pStyle w:val="Compact"/>
      </w:pPr>
      <w:r>
        <w:t xml:space="preserve">Notify the emergency response team.</w:t>
      </w:r>
    </w:p>
    <w:p>
      <w:pPr>
        <w:numPr>
          <w:ilvl w:val="0"/>
          <w:numId w:val="1004"/>
        </w:numPr>
        <w:pStyle w:val="Compact"/>
      </w:pPr>
      <w:r>
        <w:t xml:space="preserve">Follow the evacuation plan specific to the Wellington facility.</w:t>
      </w:r>
    </w:p>
    <w:p>
      <w:pPr>
        <w:pStyle w:val="FirstParagraph"/>
      </w:pPr>
      <w:r>
        <w:rPr>
          <w:bCs/>
          <w:b/>
        </w:rPr>
        <w:t xml:space="preserve">Warning:</w:t>
      </w:r>
      <w:r>
        <w:t xml:space="preserve"> </w:t>
      </w:r>
      <w:r>
        <w:t xml:space="preserve">Wellington is located in a seismically active region. All experiments must account for potential earthquake risks, including securing equipment and having emergency shut-off procedures in place.</w:t>
      </w:r>
    </w:p>
    <w:bookmarkEnd w:id="25"/>
    <w:bookmarkEnd w:id="26"/>
    <w:bookmarkStart w:id="27" w:name="equipment-and-materials"/>
    <w:p>
      <w:pPr>
        <w:pStyle w:val="Heading2"/>
      </w:pPr>
      <w:r>
        <w:t xml:space="preserve">5. Equipment and Materials</w:t>
      </w:r>
    </w:p>
    <w:p>
      <w:pPr>
        <w:pStyle w:val="FirstParagraph"/>
      </w:pPr>
      <w:r>
        <w:t xml:space="preserve">All equipment and materials must be inspected before use. A checklist should be completed by the Chemical Engineer responsible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Inspection Date</w:t>
            </w:r>
          </w:p>
        </w:tc>
      </w:tr>
      <w:tr>
        <w:tc>
          <w:tcPr/>
          <w:p>
            <w:pPr>
              <w:pStyle w:val="Compact"/>
              <w:jc w:val="left"/>
            </w:pPr>
            <w:r>
              <w:t xml:space="preserve">Reaction Vessel</w:t>
            </w:r>
          </w:p>
        </w:tc>
        <w:tc>
          <w:tcPr/>
          <w:p>
            <w:pPr>
              <w:pStyle w:val="Compact"/>
              <w:jc w:val="left"/>
            </w:pPr>
            <w:r>
              <w:t xml:space="preserve">Stainless steel, 50L capacity</w:t>
            </w:r>
          </w:p>
        </w:tc>
        <w:tc>
          <w:tcPr/>
          <w:p>
            <w:pPr>
              <w:pStyle w:val="Compact"/>
            </w:pPr>
          </w:p>
        </w:tc>
      </w:tr>
      <w:tr>
        <w:tc>
          <w:tcPr/>
          <w:p>
            <w:pPr>
              <w:pStyle w:val="Compact"/>
              <w:jc w:val="left"/>
            </w:pPr>
            <w:r>
              <w:t xml:space="preserve">Temperature Controller</w:t>
            </w:r>
          </w:p>
        </w:tc>
        <w:tc>
          <w:tcPr/>
          <w:p>
            <w:pPr>
              <w:pStyle w:val="Compact"/>
              <w:jc w:val="left"/>
            </w:pPr>
            <w:r>
              <w:t xml:space="preserve">Accuracy ±0.1°C</w:t>
            </w:r>
          </w:p>
        </w:tc>
        <w:tc>
          <w:tcPr/>
          <w:p>
            <w:pPr>
              <w:pStyle w:val="Compact"/>
            </w:pPr>
          </w:p>
        </w:tc>
      </w:tr>
      <w:tr>
        <w:tc>
          <w:tcPr/>
          <w:p>
            <w:pPr>
              <w:pStyle w:val="Compact"/>
              <w:jc w:val="left"/>
            </w:pPr>
            <w:r>
              <w:t xml:space="preserve">Pressure Gauge</w:t>
            </w:r>
          </w:p>
        </w:tc>
        <w:tc>
          <w:tcPr/>
          <w:p>
            <w:pPr>
              <w:pStyle w:val="Compact"/>
              <w:jc w:val="left"/>
            </w:pPr>
            <w:r>
              <w:t xml:space="preserve">Range 0-10 bar</w:t>
            </w:r>
          </w:p>
        </w:tc>
        <w:tc>
          <w:tcPr/>
          <w:p>
            <w:pPr>
              <w:pStyle w:val="Compact"/>
            </w:pPr>
          </w:p>
        </w:tc>
      </w:tr>
    </w:tbl>
    <w:bookmarkEnd w:id="27"/>
    <w:bookmarkStart w:id="31" w:name="experimental-procedure"/>
    <w:p>
      <w:pPr>
        <w:pStyle w:val="Heading2"/>
      </w:pPr>
      <w:r>
        <w:t xml:space="preserve">6. Experimental Procedure</w:t>
      </w:r>
    </w:p>
    <w:bookmarkStart w:id="28" w:name="preparation"/>
    <w:p>
      <w:pPr>
        <w:pStyle w:val="Heading3"/>
      </w:pPr>
      <w:r>
        <w:t xml:space="preserve">6.1 Preparation</w:t>
      </w:r>
    </w:p>
    <w:p>
      <w:pPr>
        <w:numPr>
          <w:ilvl w:val="0"/>
          <w:numId w:val="1005"/>
        </w:numPr>
        <w:pStyle w:val="Compact"/>
      </w:pPr>
      <w:r>
        <w:t xml:space="preserve">Review the experiment plan and ensure all materials are available.</w:t>
      </w:r>
    </w:p>
    <w:p>
      <w:pPr>
        <w:numPr>
          <w:ilvl w:val="0"/>
          <w:numId w:val="1005"/>
        </w:numPr>
        <w:pStyle w:val="Compact"/>
      </w:pPr>
      <w:r>
        <w:t xml:space="preserve">Calibrate all instruments according to manufacturer specifications.</w:t>
      </w:r>
    </w:p>
    <w:p>
      <w:pPr>
        <w:numPr>
          <w:ilvl w:val="0"/>
          <w:numId w:val="1005"/>
        </w:numPr>
        <w:pStyle w:val="Compact"/>
      </w:pPr>
      <w:r>
        <w:t xml:space="preserve">Set up the reaction vessel and connect all necessary lines.</w:t>
      </w:r>
    </w:p>
    <w:bookmarkEnd w:id="28"/>
    <w:bookmarkStart w:id="29" w:name="execution"/>
    <w:p>
      <w:pPr>
        <w:pStyle w:val="Heading3"/>
      </w:pPr>
      <w:r>
        <w:t xml:space="preserve">6.2 Execution</w:t>
      </w:r>
    </w:p>
    <w:p>
      <w:pPr>
        <w:numPr>
          <w:ilvl w:val="0"/>
          <w:numId w:val="1006"/>
        </w:numPr>
        <w:pStyle w:val="Compact"/>
      </w:pPr>
      <w:r>
        <w:t xml:space="preserve">Begin the reaction by adding reagents in the specified order.</w:t>
      </w:r>
    </w:p>
    <w:p>
      <w:pPr>
        <w:numPr>
          <w:ilvl w:val="0"/>
          <w:numId w:val="1006"/>
        </w:numPr>
        <w:pStyle w:val="Compact"/>
      </w:pPr>
      <w:r>
        <w:t xml:space="preserve">Monitor temperature, pressure, and other relevant parameters continuously.</w:t>
      </w:r>
    </w:p>
    <w:p>
      <w:pPr>
        <w:numPr>
          <w:ilvl w:val="0"/>
          <w:numId w:val="1006"/>
        </w:numPr>
        <w:pStyle w:val="Compact"/>
      </w:pPr>
      <w:r>
        <w:t xml:space="preserve">Record data at regular intervals.</w:t>
      </w:r>
    </w:p>
    <w:bookmarkEnd w:id="29"/>
    <w:bookmarkStart w:id="30" w:name="termination"/>
    <w:p>
      <w:pPr>
        <w:pStyle w:val="Heading3"/>
      </w:pPr>
      <w:r>
        <w:t xml:space="preserve">6.3 Termination</w:t>
      </w:r>
    </w:p>
    <w:p>
      <w:pPr>
        <w:numPr>
          <w:ilvl w:val="0"/>
          <w:numId w:val="1007"/>
        </w:numPr>
        <w:pStyle w:val="Compact"/>
      </w:pPr>
      <w:r>
        <w:t xml:space="preserve">Gradually reduce temperature and pressure to safe levels.</w:t>
      </w:r>
    </w:p>
    <w:p>
      <w:pPr>
        <w:numPr>
          <w:ilvl w:val="0"/>
          <w:numId w:val="1007"/>
        </w:numPr>
        <w:pStyle w:val="Compact"/>
      </w:pPr>
      <w:r>
        <w:t xml:space="preserve">Dispose of waste materials according to Wellington City Council guidelines.</w:t>
      </w:r>
    </w:p>
    <w:p>
      <w:pPr>
        <w:numPr>
          <w:ilvl w:val="0"/>
          <w:numId w:val="1007"/>
        </w:numPr>
        <w:pStyle w:val="Compact"/>
      </w:pPr>
      <w:r>
        <w:t xml:space="preserve">Clean and store all equipment properly.</w:t>
      </w:r>
    </w:p>
    <w:bookmarkEnd w:id="30"/>
    <w:bookmarkEnd w:id="31"/>
    <w:bookmarkStart w:id="32" w:name="data-recording-and-reporting"/>
    <w:p>
      <w:pPr>
        <w:pStyle w:val="Heading2"/>
      </w:pPr>
      <w:r>
        <w:t xml:space="preserve">7. Data Recording and Reporting</w:t>
      </w:r>
    </w:p>
    <w:p>
      <w:pPr>
        <w:pStyle w:val="FirstParagraph"/>
      </w:pPr>
      <w:r>
        <w:t xml:space="preserve">All data must be recorded accurately and stored securely. Reports should include:</w:t>
      </w:r>
    </w:p>
    <w:p>
      <w:pPr>
        <w:numPr>
          <w:ilvl w:val="0"/>
          <w:numId w:val="1008"/>
        </w:numPr>
        <w:pStyle w:val="Compact"/>
      </w:pPr>
      <w:r>
        <w:t xml:space="preserve">Objective of the experiment</w:t>
      </w:r>
    </w:p>
    <w:p>
      <w:pPr>
        <w:numPr>
          <w:ilvl w:val="0"/>
          <w:numId w:val="1008"/>
        </w:numPr>
        <w:pStyle w:val="Compact"/>
      </w:pPr>
      <w:r>
        <w:t xml:space="preserve">Methodology</w:t>
      </w:r>
    </w:p>
    <w:p>
      <w:pPr>
        <w:numPr>
          <w:ilvl w:val="0"/>
          <w:numId w:val="1008"/>
        </w:numPr>
        <w:pStyle w:val="Compact"/>
      </w:pPr>
      <w:r>
        <w:t xml:space="preserve">Results and analysis</w:t>
      </w:r>
    </w:p>
    <w:p>
      <w:pPr>
        <w:numPr>
          <w:ilvl w:val="0"/>
          <w:numId w:val="1008"/>
        </w:numPr>
        <w:pStyle w:val="Compact"/>
      </w:pPr>
      <w:r>
        <w:t xml:space="preserve">Conclusions and recommendations</w:t>
      </w:r>
    </w:p>
    <w:p>
      <w:pPr>
        <w:pStyle w:val="FirstParagraph"/>
      </w:pPr>
      <w:r>
        <w:t xml:space="preserve">Reports must be submitted to the supervising Chemical Engineer within 5 working days of experiment completion.</w:t>
      </w:r>
    </w:p>
    <w:bookmarkEnd w:id="32"/>
    <w:bookmarkStart w:id="33" w:name="environmental-considerations"/>
    <w:p>
      <w:pPr>
        <w:pStyle w:val="Heading2"/>
      </w:pPr>
      <w:r>
        <w:t xml:space="preserve">8. Environmental Considerations</w:t>
      </w:r>
    </w:p>
    <w:p>
      <w:pPr>
        <w:pStyle w:val="FirstParagraph"/>
      </w:pPr>
      <w:r>
        <w:t xml:space="preserve">Wellington's unique environmental conditions must be considered in all experiments. This includes:</w:t>
      </w:r>
    </w:p>
    <w:p>
      <w:pPr>
        <w:numPr>
          <w:ilvl w:val="0"/>
          <w:numId w:val="1009"/>
        </w:numPr>
        <w:pStyle w:val="Compact"/>
      </w:pPr>
      <w:r>
        <w:t xml:space="preserve">Minimizing emissions to protect air quality.</w:t>
      </w:r>
    </w:p>
    <w:p>
      <w:pPr>
        <w:numPr>
          <w:ilvl w:val="0"/>
          <w:numId w:val="1009"/>
        </w:numPr>
        <w:pStyle w:val="Compact"/>
      </w:pPr>
      <w:r>
        <w:t xml:space="preserve">Proper disposal of chemical waste to prevent water contamination.</w:t>
      </w:r>
    </w:p>
    <w:p>
      <w:pPr>
        <w:numPr>
          <w:ilvl w:val="0"/>
          <w:numId w:val="1009"/>
        </w:numPr>
        <w:pStyle w:val="Compact"/>
      </w:pPr>
      <w:r>
        <w:t xml:space="preserve">Using energy-efficient processes to reduce carbon footprint.</w:t>
      </w:r>
    </w:p>
    <w:bookmarkEnd w:id="33"/>
    <w:bookmarkStart w:id="34" w:name="review-and-approval"/>
    <w:p>
      <w:pPr>
        <w:pStyle w:val="Heading2"/>
      </w:pPr>
      <w:r>
        <w:t xml:space="preserve">9. Review and Approval</w:t>
      </w:r>
    </w:p>
    <w:p>
      <w:pPr>
        <w:pStyle w:val="FirstParagraph"/>
      </w:pPr>
      <w:r>
        <w:t xml:space="preserve">This Experiment Protocol must be reviewed and approved by the lead Chemical Engineer before any experiments are conducted. Any changes to the protocol must be documented and re-approved.</w:t>
      </w:r>
    </w:p>
    <w:p>
      <w:pPr>
        <w:pStyle w:val="BodyText"/>
      </w:pPr>
      <w:r>
        <w:rPr>
          <w:bCs/>
          <w:b/>
        </w:rPr>
        <w:t xml:space="preserve">Approved by:</w:t>
      </w:r>
      <w:r>
        <w:t xml:space="preserve"> </w:t>
      </w:r>
      <w:r>
        <w:t xml:space="preserve">_________________________</w:t>
      </w:r>
    </w:p>
    <w:p>
      <w:pPr>
        <w:pStyle w:val="BodyText"/>
      </w:pPr>
      <w:r>
        <w:rPr>
          <w:bCs/>
          <w:b/>
        </w:rPr>
        <w:t xml:space="preserve">Date:</w:t>
      </w:r>
      <w:r>
        <w:t xml:space="preserve"> </w:t>
      </w:r>
      <w:r>
        <w:t xml:space="preserve">_________________________</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New Zealand Wellington</dc:title>
  <dc:creator/>
  <dc:language>en</dc:language>
  <cp:keywords/>
  <dcterms:created xsi:type="dcterms:W3CDTF">2026-10-10T04:14:47Z</dcterms:created>
  <dcterms:modified xsi:type="dcterms:W3CDTF">2026-10-10T04:14:47Z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