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Chemical</w:t>
      </w:r>
      <w:r>
        <w:t xml:space="preserve"> </w:t>
      </w:r>
      <w:r>
        <w:t xml:space="preserve">Engineer</w:t>
      </w:r>
      <w:r>
        <w:t xml:space="preserve"> </w:t>
      </w:r>
      <w:r>
        <w:t xml:space="preserve">-</w:t>
      </w:r>
      <w:r>
        <w:t xml:space="preserve"> </w:t>
      </w:r>
      <w:r>
        <w:t xml:space="preserve">Nigeria</w:t>
      </w:r>
      <w:r>
        <w:t xml:space="preserve"> </w:t>
      </w:r>
      <w:r>
        <w:t xml:space="preserve">Abuja</w:t>
      </w:r>
    </w:p>
    <w:bookmarkStart w:id="20" w:name="X095bd4c13069f430ee83e3b7b05561f561cd72b"/>
    <w:p>
      <w:pPr>
        <w:pStyle w:val="Heading1"/>
      </w:pPr>
      <w:r>
        <w:t xml:space="preserve">Experiment Protocol: Chemical Engineer - Nigeria Abuja</w:t>
      </w:r>
    </w:p>
    <w:p>
      <w:pPr>
        <w:pStyle w:val="FirstParagraph"/>
      </w:pPr>
      <w:r>
        <w:rPr>
          <w:bCs/>
          <w:b/>
        </w:rPr>
        <w:t xml:space="preserve">Document ID:</w:t>
      </w:r>
      <w:r>
        <w:t xml:space="preserve"> </w:t>
      </w:r>
      <w:r>
        <w:t xml:space="preserve">CE-ABJ-2024-001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Abuja, Federal Capital Territory, Nigeria</w:t>
      </w:r>
    </w:p>
    <w:p>
      <w:pPr>
        <w:pStyle w:val="BodyText"/>
      </w:pPr>
      <w:r>
        <w:rPr>
          <w:bCs/>
          <w:b/>
        </w:rPr>
        <w:t xml:space="preserve">Prepared By:</w:t>
      </w:r>
      <w:r>
        <w:t xml:space="preserve"> </w:t>
      </w:r>
      <w:r>
        <w:t xml:space="preserve">Senior Chemical Engineer</w:t>
      </w:r>
    </w:p>
    <w:bookmarkEnd w:id="20"/>
    <w:bookmarkStart w:id="21" w:name="introduction-and-objective"/>
    <w:p>
      <w:pPr>
        <w:pStyle w:val="Heading2"/>
      </w:pPr>
      <w:r>
        <w:t xml:space="preserve">1. Introduction and Objective</w:t>
      </w:r>
    </w:p>
    <w:p>
      <w:pPr>
        <w:pStyle w:val="FirstParagraph"/>
      </w:pPr>
      <w:r>
        <w:t xml:space="preserve">This Experiment Protocol outlines the standardized procedures for conducting chemical engineering experiments within the operational facilities located in Abuja, Nigeria. The primary objective is to ensure that all experimental activities conducted by Chemical Engineers adhere to the highest standards of safety, accuracy, and regulatory compliance. Given the unique environmental and infrastructural conditions of Abuja, this protocol is specifically tailored to address local challenges such as power fluctuations, humidity levels, and waste disposal regulations set by the Federal Capital Territory Administration (FCTA).</w:t>
      </w:r>
    </w:p>
    <w:p>
      <w:pPr>
        <w:pStyle w:val="BodyText"/>
      </w:pPr>
      <w:r>
        <w:t xml:space="preserve">The scope of this document covers laboratory-scale experiments involving fluid dynamics, thermodynamics, and reaction kinetics, which are critical for optimizing industrial processes in Nigeria's growing chemical and petrochemical sectors.</w:t>
      </w:r>
    </w:p>
    <w:bookmarkEnd w:id="21"/>
    <w:bookmarkStart w:id="22" w:name="Xc1bf6019d7c7f546cd756b019a9b2d8bdab0c79"/>
    <w:p>
      <w:pPr>
        <w:pStyle w:val="Heading2"/>
      </w:pPr>
      <w:r>
        <w:t xml:space="preserve">2. Regulatory Compliance and Safety Standards</w:t>
      </w:r>
    </w:p>
    <w:p>
      <w:pPr>
        <w:pStyle w:val="FirstParagraph"/>
      </w:pPr>
      <w:r>
        <w:t xml:space="preserve">All Chemical Engineers operating in Abuja must strictly comply with the following regulations:</w:t>
      </w:r>
    </w:p>
    <w:p>
      <w:pPr>
        <w:numPr>
          <w:ilvl w:val="0"/>
          <w:numId w:val="1001"/>
        </w:numPr>
        <w:pStyle w:val="Compact"/>
      </w:pPr>
      <w:r>
        <w:rPr>
          <w:bCs/>
          <w:b/>
        </w:rPr>
        <w:t xml:space="preserve">Nigerian Industrial Safety and Environmental Protection Act:</w:t>
      </w:r>
      <w:r>
        <w:t xml:space="preserve"> </w:t>
      </w:r>
      <w:r>
        <w:t xml:space="preserve">Ensuring all experiments minimize environmental impact.</w:t>
      </w:r>
    </w:p>
    <w:p>
      <w:pPr>
        <w:numPr>
          <w:ilvl w:val="0"/>
          <w:numId w:val="1001"/>
        </w:numPr>
        <w:pStyle w:val="Compact"/>
      </w:pPr>
      <w:r>
        <w:rPr>
          <w:bCs/>
          <w:b/>
        </w:rPr>
        <w:t xml:space="preserve">FCTA Waste Management Regulations:</w:t>
      </w:r>
      <w:r>
        <w:t xml:space="preserve"> </w:t>
      </w:r>
      <w:r>
        <w:t xml:space="preserve">Proper disposal of chemical waste is mandatory.</w:t>
      </w:r>
    </w:p>
    <w:p>
      <w:pPr>
        <w:numPr>
          <w:ilvl w:val="0"/>
          <w:numId w:val="1001"/>
        </w:numPr>
        <w:pStyle w:val="Compact"/>
      </w:pPr>
      <w:r>
        <w:rPr>
          <w:bCs/>
          <w:b/>
        </w:rPr>
        <w:t xml:space="preserve">Occupational Safety and Health Administration (OSHA) Guidelines:</w:t>
      </w:r>
      <w:r>
        <w:t xml:space="preserve"> </w:t>
      </w:r>
      <w:r>
        <w:t xml:space="preserve">Adapted for Nigerian industrial contexts.</w:t>
      </w:r>
    </w:p>
    <w:p>
      <w:pPr>
        <w:pStyle w:val="FirstParagraph"/>
      </w:pPr>
      <w:r>
        <w:rPr>
          <w:bCs/>
          <w:b/>
        </w:rPr>
        <w:t xml:space="preserve">Warning:</w:t>
      </w:r>
      <w:r>
        <w:t xml:space="preserve"> </w:t>
      </w:r>
      <w:r>
        <w:t xml:space="preserve">Failure to adhere to these regulations may result in severe penalties, including suspension of operations and legal action.</w:t>
      </w:r>
    </w:p>
    <w:bookmarkEnd w:id="22"/>
    <w:bookmarkStart w:id="26" w:name="pre-experiment-preparation"/>
    <w:p>
      <w:pPr>
        <w:pStyle w:val="Heading2"/>
      </w:pPr>
      <w:r>
        <w:t xml:space="preserve">3. Pre-Experiment Preparation</w:t>
      </w:r>
    </w:p>
    <w:bookmarkStart w:id="23" w:name="equipment-calibration"/>
    <w:p>
      <w:pPr>
        <w:pStyle w:val="Heading3"/>
      </w:pPr>
      <w:r>
        <w:t xml:space="preserve">3.1. Equipment Calibration</w:t>
      </w:r>
    </w:p>
    <w:p>
      <w:pPr>
        <w:pStyle w:val="FirstParagraph"/>
      </w:pPr>
      <w:r>
        <w:t xml:space="preserve">Due to the high humidity levels in Abuja, all electronic measuring instruments must be calibrated daily. Chemical Engineers must verify the accuracy of thermometers, pressure gauges, and flow meters before commencing any experiment. Calibration records must be maintained in a logbook for audit purposes.</w:t>
      </w:r>
    </w:p>
    <w:bookmarkEnd w:id="23"/>
    <w:bookmarkStart w:id="24" w:name="power-supply-stabilization"/>
    <w:p>
      <w:pPr>
        <w:pStyle w:val="Heading3"/>
      </w:pPr>
      <w:r>
        <w:t xml:space="preserve">3.2. Power Supply Stabilization</w:t>
      </w:r>
    </w:p>
    <w:p>
      <w:pPr>
        <w:pStyle w:val="FirstParagraph"/>
      </w:pPr>
      <w:r>
        <w:t xml:space="preserve">Given the intermittent power supply in some areas of Abuja, all critical experimental equipment must be connected to a reliable Uninterruptible Power Supply (UPS) or a dedicated generator. Voltage stabilizers must be used to protect sensitive instruments from power surges.</w:t>
      </w:r>
    </w:p>
    <w:bookmarkEnd w:id="24"/>
    <w:bookmarkStart w:id="25" w:name="personal-protective-equipment-ppe"/>
    <w:p>
      <w:pPr>
        <w:pStyle w:val="Heading3"/>
      </w:pPr>
      <w:r>
        <w:t xml:space="preserve">3.3. Personal Protective Equipment (PPE)</w:t>
      </w:r>
    </w:p>
    <w:p>
      <w:pPr>
        <w:pStyle w:val="FirstParagraph"/>
      </w:pPr>
      <w:r>
        <w:t xml:space="preserve">All personnel must wear appropriate PPE, including:</w:t>
      </w:r>
    </w:p>
    <w:p>
      <w:pPr>
        <w:numPr>
          <w:ilvl w:val="0"/>
          <w:numId w:val="1002"/>
        </w:numPr>
        <w:pStyle w:val="Compact"/>
      </w:pPr>
      <w:r>
        <w:t xml:space="preserve">Safety goggles</w:t>
      </w:r>
    </w:p>
    <w:p>
      <w:pPr>
        <w:numPr>
          <w:ilvl w:val="0"/>
          <w:numId w:val="1002"/>
        </w:numPr>
        <w:pStyle w:val="Compact"/>
      </w:pPr>
      <w:r>
        <w:t xml:space="preserve">Lab coats</w:t>
      </w:r>
    </w:p>
    <w:p>
      <w:pPr>
        <w:numPr>
          <w:ilvl w:val="0"/>
          <w:numId w:val="1002"/>
        </w:numPr>
        <w:pStyle w:val="Compact"/>
      </w:pPr>
      <w:r>
        <w:t xml:space="preserve">Nitrile gloves</w:t>
      </w:r>
    </w:p>
    <w:p>
      <w:pPr>
        <w:numPr>
          <w:ilvl w:val="0"/>
          <w:numId w:val="1002"/>
        </w:numPr>
        <w:pStyle w:val="Compact"/>
      </w:pPr>
      <w:r>
        <w:t xml:space="preserve">Safety shoes</w:t>
      </w:r>
    </w:p>
    <w:bookmarkEnd w:id="25"/>
    <w:bookmarkEnd w:id="26"/>
    <w:bookmarkStart w:id="30" w:name="experimental-procedure"/>
    <w:p>
      <w:pPr>
        <w:pStyle w:val="Heading2"/>
      </w:pPr>
      <w:r>
        <w:t xml:space="preserve">4. Experimental Procedure</w:t>
      </w:r>
    </w:p>
    <w:bookmarkStart w:id="27" w:name="setup"/>
    <w:p>
      <w:pPr>
        <w:pStyle w:val="Heading3"/>
      </w:pPr>
      <w:r>
        <w:t xml:space="preserve">4.1. Setup</w:t>
      </w:r>
    </w:p>
    <w:p>
      <w:pPr>
        <w:pStyle w:val="FirstParagraph"/>
      </w:pPr>
      <w:r>
        <w:t xml:space="preserve">The Chemical Engineer must assemble the experimental apparatus according to the schematic diagram provided in the experiment plan. All connections must be checked for leaks, especially when dealing with volatile chemicals. The workspace must be well-ventilated to prevent the accumulation of hazardous fumes.</w:t>
      </w:r>
    </w:p>
    <w:bookmarkEnd w:id="27"/>
    <w:bookmarkStart w:id="28" w:name="execution"/>
    <w:p>
      <w:pPr>
        <w:pStyle w:val="Heading3"/>
      </w:pPr>
      <w:r>
        <w:t xml:space="preserve">4.2. Execution</w:t>
      </w:r>
    </w:p>
    <w:p>
      <w:pPr>
        <w:pStyle w:val="FirstParagraph"/>
      </w:pPr>
      <w:r>
        <w:t xml:space="preserve">During the experiment, the Chemical Engineer must continuously monitor key parameters such as temperature, pressure, and flow rate. Data must be recorded at regular intervals, preferably using automated data logging systems to minimize human error. Any deviations from expected results must be noted immediately and investigated.</w:t>
      </w:r>
    </w:p>
    <w:bookmarkEnd w:id="28"/>
    <w:bookmarkStart w:id="29" w:name="contingency-measures"/>
    <w:p>
      <w:pPr>
        <w:pStyle w:val="Heading3"/>
      </w:pPr>
      <w:r>
        <w:t xml:space="preserve">4.3. Contingency Measures</w:t>
      </w:r>
    </w:p>
    <w:p>
      <w:pPr>
        <w:pStyle w:val="FirstParagraph"/>
      </w:pPr>
      <w:r>
        <w:t xml:space="preserve">In the event of an emergency, such as a chemical spill or equipment failure, the following steps must be taken:</w:t>
      </w:r>
    </w:p>
    <w:p>
      <w:pPr>
        <w:numPr>
          <w:ilvl w:val="0"/>
          <w:numId w:val="1003"/>
        </w:numPr>
        <w:pStyle w:val="Compact"/>
      </w:pPr>
      <w:r>
        <w:t xml:space="preserve">Activate the emergency shutdown system.</w:t>
      </w:r>
    </w:p>
    <w:p>
      <w:pPr>
        <w:numPr>
          <w:ilvl w:val="0"/>
          <w:numId w:val="1003"/>
        </w:numPr>
        <w:pStyle w:val="Compact"/>
      </w:pPr>
      <w:r>
        <w:t xml:space="preserve">Evacuate the area if necessary.</w:t>
      </w:r>
    </w:p>
    <w:p>
      <w:pPr>
        <w:numPr>
          <w:ilvl w:val="0"/>
          <w:numId w:val="1003"/>
        </w:numPr>
        <w:pStyle w:val="Compact"/>
      </w:pPr>
      <w:r>
        <w:t xml:space="preserve">Notify the safety officer and local emergency services.</w:t>
      </w:r>
    </w:p>
    <w:p>
      <w:pPr>
        <w:numPr>
          <w:ilvl w:val="0"/>
          <w:numId w:val="1003"/>
        </w:numPr>
        <w:pStyle w:val="Compact"/>
      </w:pPr>
      <w:r>
        <w:t xml:space="preserve">Contain the spill using appropriate materials.</w:t>
      </w:r>
    </w:p>
    <w:bookmarkEnd w:id="29"/>
    <w:bookmarkEnd w:id="30"/>
    <w:bookmarkStart w:id="34" w:name="post-experiment-procedures"/>
    <w:p>
      <w:pPr>
        <w:pStyle w:val="Heading2"/>
      </w:pPr>
      <w:r>
        <w:t xml:space="preserve">5. Post-Experiment Procedures</w:t>
      </w:r>
    </w:p>
    <w:bookmarkStart w:id="31" w:name="data-analysis"/>
    <w:p>
      <w:pPr>
        <w:pStyle w:val="Heading3"/>
      </w:pPr>
      <w:r>
        <w:t xml:space="preserve">5.1. Data Analysis</w:t>
      </w:r>
    </w:p>
    <w:p>
      <w:pPr>
        <w:pStyle w:val="FirstParagraph"/>
      </w:pPr>
      <w:r>
        <w:t xml:space="preserve">After the experiment, the Chemical Engineer must analyze the collected data to draw meaningful conclusions. Statistical methods should be used to ensure the reliability of the results. Any anomalies must be documented and explained.</w:t>
      </w:r>
    </w:p>
    <w:bookmarkEnd w:id="31"/>
    <w:bookmarkStart w:id="32" w:name="cleanup-and-waste-disposal"/>
    <w:p>
      <w:pPr>
        <w:pStyle w:val="Heading3"/>
      </w:pPr>
      <w:r>
        <w:t xml:space="preserve">5.2. Cleanup and Waste Disposal</w:t>
      </w:r>
    </w:p>
    <w:p>
      <w:pPr>
        <w:pStyle w:val="FirstParagraph"/>
      </w:pPr>
      <w:r>
        <w:t xml:space="preserve">All equipment must be cleaned and stored properly. Chemical waste must be segregated and disposed of in accordance with FCTA regulations. Hazardous waste must be labeled and stored in designated containers until it can be safely transported to an approved disposal facility.</w:t>
      </w:r>
    </w:p>
    <w:bookmarkEnd w:id="32"/>
    <w:bookmarkStart w:id="33" w:name="reporting"/>
    <w:p>
      <w:pPr>
        <w:pStyle w:val="Heading3"/>
      </w:pPr>
      <w:r>
        <w:t xml:space="preserve">5.3. Reporting</w:t>
      </w:r>
    </w:p>
    <w:p>
      <w:pPr>
        <w:pStyle w:val="FirstParagraph"/>
      </w:pPr>
      <w:r>
        <w:t xml:space="preserve">A detailed report must be submitted within 48 hours of the experiment's completion. The report should include:</w:t>
      </w:r>
    </w:p>
    <w:p>
      <w:pPr>
        <w:numPr>
          <w:ilvl w:val="0"/>
          <w:numId w:val="1004"/>
        </w:numPr>
        <w:pStyle w:val="Compact"/>
      </w:pPr>
      <w:r>
        <w:t xml:space="preserve">Objective of the experiment</w:t>
      </w:r>
    </w:p>
    <w:p>
      <w:pPr>
        <w:numPr>
          <w:ilvl w:val="0"/>
          <w:numId w:val="1004"/>
        </w:numPr>
        <w:pStyle w:val="Compact"/>
      </w:pPr>
      <w:r>
        <w:t xml:space="preserve">Methodology used</w:t>
      </w:r>
    </w:p>
    <w:p>
      <w:pPr>
        <w:numPr>
          <w:ilvl w:val="0"/>
          <w:numId w:val="1004"/>
        </w:numPr>
        <w:pStyle w:val="Compact"/>
      </w:pPr>
      <w:r>
        <w:t xml:space="preserve">Data collected and analysis</w:t>
      </w:r>
    </w:p>
    <w:p>
      <w:pPr>
        <w:numPr>
          <w:ilvl w:val="0"/>
          <w:numId w:val="1004"/>
        </w:numPr>
        <w:pStyle w:val="Compact"/>
      </w:pPr>
      <w:r>
        <w:t xml:space="preserve">Conclusions and recommendations</w:t>
      </w:r>
    </w:p>
    <w:p>
      <w:pPr>
        <w:numPr>
          <w:ilvl w:val="0"/>
          <w:numId w:val="1004"/>
        </w:numPr>
        <w:pStyle w:val="Compact"/>
      </w:pPr>
      <w:r>
        <w:t xml:space="preserve">Safety incidents, if any</w:t>
      </w:r>
    </w:p>
    <w:bookmarkEnd w:id="33"/>
    <w:bookmarkEnd w:id="34"/>
    <w:bookmarkStart w:id="35" w:name="conclusion"/>
    <w:p>
      <w:pPr>
        <w:pStyle w:val="Heading2"/>
      </w:pPr>
      <w:r>
        <w:t xml:space="preserve">6. Conclusion</w:t>
      </w:r>
    </w:p>
    <w:p>
      <w:pPr>
        <w:pStyle w:val="FirstParagraph"/>
      </w:pPr>
      <w:r>
        <w:t xml:space="preserve">This Experiment Protocol is designed to ensure that Chemical Engineers in Abuja, Nigeria, conduct their experiments safely, efficiently, and in compliance with local regulations. By following these guidelines, we can contribute to the advancement of chemical engineering practices in Nigeria while maintaining the highest standards of safety and environmental responsibility.</w:t>
      </w:r>
    </w:p>
    <w:bookmarkEnd w:id="35"/>
    <w:bookmarkStart w:id="36" w:name="approval"/>
    <w:p>
      <w:pPr>
        <w:pStyle w:val="Heading2"/>
      </w:pPr>
      <w:r>
        <w:t xml:space="preserve">7. Approval</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Name</w:t>
            </w:r>
          </w:p>
        </w:tc>
        <w:tc>
          <w:tcPr/>
          <w:p>
            <w:pPr>
              <w:pStyle w:val="Compact"/>
              <w:jc w:val="left"/>
            </w:pPr>
            <w:r>
              <w:t xml:space="preserve">Position</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Dr. Amina Bello</w:t>
            </w:r>
          </w:p>
        </w:tc>
        <w:tc>
          <w:tcPr/>
          <w:p>
            <w:pPr>
              <w:pStyle w:val="Compact"/>
              <w:jc w:val="left"/>
            </w:pPr>
            <w:r>
              <w:t xml:space="preserve">Chief Chemical Engineer</w:t>
            </w:r>
          </w:p>
        </w:tc>
        <w:tc>
          <w:tcPr/>
          <w:p>
            <w:pPr>
              <w:pStyle w:val="Compact"/>
            </w:pPr>
          </w:p>
        </w:tc>
        <w:tc>
          <w:tcPr/>
          <w:p>
            <w:pPr>
              <w:pStyle w:val="Compact"/>
            </w:pPr>
          </w:p>
        </w:tc>
      </w:tr>
      <w:tr>
        <w:tc>
          <w:tcPr/>
          <w:p>
            <w:pPr>
              <w:pStyle w:val="Compact"/>
              <w:jc w:val="left"/>
            </w:pPr>
            <w:r>
              <w:t xml:space="preserve">Mr. Chukwuemeka Okafor</w:t>
            </w:r>
          </w:p>
        </w:tc>
        <w:tc>
          <w:tcPr/>
          <w:p>
            <w:pPr>
              <w:pStyle w:val="Compact"/>
              <w:jc w:val="left"/>
            </w:pPr>
            <w:r>
              <w:t xml:space="preserve">Safety Officer</w:t>
            </w:r>
          </w:p>
        </w:tc>
        <w:tc>
          <w:tcPr/>
          <w:p>
            <w:pPr>
              <w:pStyle w:val="Compact"/>
            </w:pPr>
          </w:p>
        </w:tc>
        <w:tc>
          <w:tcPr/>
          <w:p>
            <w:pPr>
              <w:pStyle w:val="Compact"/>
            </w:pPr>
          </w:p>
        </w:tc>
      </w:tr>
    </w:tbl>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Chemical Engineer - Nigeria Abuja</dc:title>
  <dc:creator/>
  <dc:language>en</dc:language>
  <cp:keywords/>
  <dcterms:created xsi:type="dcterms:W3CDTF">2026-10-10T03:20:58Z</dcterms:created>
  <dcterms:modified xsi:type="dcterms:W3CDTF">2026-10-10T03:20:58Z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