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Nigeria</w:t>
      </w:r>
      <w:r>
        <w:t xml:space="preserve"> </w:t>
      </w:r>
      <w:r>
        <w:t xml:space="preserve">Lagos</w:t>
      </w:r>
    </w:p>
    <w:bookmarkStart w:id="35" w:name="X6a16e576aeeea3b6b9dbfef04e7f7c1d53d08b7"/>
    <w:p>
      <w:pPr>
        <w:pStyle w:val="Heading1"/>
      </w:pPr>
      <w:r>
        <w:t xml:space="preserve">Experiment Protocol: Chemical Engineer - Nigeria Lagos</w:t>
      </w:r>
    </w:p>
    <w:p>
      <w:pPr>
        <w:pStyle w:val="FirstParagraph"/>
      </w:pPr>
      <w:r>
        <w:rPr>
          <w:bCs/>
          <w:b/>
        </w:rPr>
        <w:t xml:space="preserve">Document Title:</w:t>
      </w:r>
      <w:r>
        <w:t xml:space="preserve"> </w:t>
      </w:r>
      <w:r>
        <w:t xml:space="preserve">Standard Operating Procedure for Chemical Process Optimization and Safety Assessment</w:t>
      </w:r>
    </w:p>
    <w:p>
      <w:pPr>
        <w:pStyle w:val="BodyText"/>
      </w:pPr>
      <w:r>
        <w:rPr>
          <w:bCs/>
          <w:b/>
        </w:rPr>
        <w:t xml:space="preserve">Location:</w:t>
      </w:r>
      <w:r>
        <w:t xml:space="preserve"> </w:t>
      </w:r>
      <w:r>
        <w:t xml:space="preserve">Lagos, Nigeria</w:t>
      </w:r>
    </w:p>
    <w:p>
      <w:pPr>
        <w:pStyle w:val="BodyText"/>
      </w:pPr>
      <w:r>
        <w:rPr>
          <w:bCs/>
          <w:b/>
        </w:rPr>
        <w:t xml:space="preserve">Discipline:</w:t>
      </w:r>
      <w:r>
        <w:t xml:space="preserve"> </w:t>
      </w:r>
      <w:r>
        <w:t xml:space="preserve">Chemical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for Chemical Engineers operating within the industrial landscape of Lagos, Nigeria. The primary objective is to establish a standardized framework for conducting chemical experiments that ensure safety, efficiency, and compliance with local regulations. Lagos, as a major industrial hub in Nigeria, presents unique challenges and opportunities for chemical engineering practices. This protocol aims to address these specific conditions while maintaining international standards of excellence.</w:t>
      </w:r>
    </w:p>
    <w:bookmarkEnd w:id="20"/>
    <w:bookmarkStart w:id="21" w:name="scope-and-applicability"/>
    <w:p>
      <w:pPr>
        <w:pStyle w:val="Heading2"/>
      </w:pPr>
      <w:r>
        <w:t xml:space="preserve">2. Scope and Applicability</w:t>
      </w:r>
    </w:p>
    <w:p>
      <w:pPr>
        <w:pStyle w:val="FirstParagraph"/>
      </w:pPr>
      <w:r>
        <w:t xml:space="preserve">This protocol applies to all Chemical Engineers working in laboratories, pilot plants, and industrial facilities across Lagos, Nigeria. It covers various aspects of chemical experimentation, including but not limited to:</w:t>
      </w:r>
    </w:p>
    <w:p>
      <w:pPr>
        <w:numPr>
          <w:ilvl w:val="0"/>
          <w:numId w:val="1001"/>
        </w:numPr>
        <w:pStyle w:val="Compact"/>
      </w:pPr>
      <w:r>
        <w:t xml:space="preserve">Process optimization studies</w:t>
      </w:r>
    </w:p>
    <w:p>
      <w:pPr>
        <w:numPr>
          <w:ilvl w:val="0"/>
          <w:numId w:val="1001"/>
        </w:numPr>
        <w:pStyle w:val="Compact"/>
      </w:pPr>
      <w:r>
        <w:t xml:space="preserve">Material testing and analysis</w:t>
      </w:r>
    </w:p>
    <w:p>
      <w:pPr>
        <w:numPr>
          <w:ilvl w:val="0"/>
          <w:numId w:val="1001"/>
        </w:numPr>
        <w:pStyle w:val="Compact"/>
      </w:pPr>
      <w:r>
        <w:t xml:space="preserve">Safety assessments</w:t>
      </w:r>
    </w:p>
    <w:p>
      <w:pPr>
        <w:numPr>
          <w:ilvl w:val="0"/>
          <w:numId w:val="1001"/>
        </w:numPr>
        <w:pStyle w:val="Compact"/>
      </w:pPr>
      <w:r>
        <w:t xml:space="preserve">Environmental impact evaluations</w:t>
      </w:r>
    </w:p>
    <w:bookmarkEnd w:id="21"/>
    <w:bookmarkStart w:id="24" w:name="safety-considerations"/>
    <w:p>
      <w:pPr>
        <w:pStyle w:val="Heading2"/>
      </w:pPr>
      <w:r>
        <w:t xml:space="preserve">3. Safety Considerations</w:t>
      </w:r>
    </w:p>
    <w:p>
      <w:pPr>
        <w:pStyle w:val="FirstParagraph"/>
      </w:pPr>
      <w:r>
        <w:rPr>
          <w:bCs/>
          <w:b/>
        </w:rPr>
        <w:t xml:space="preserve">Important:</w:t>
      </w:r>
      <w:r>
        <w:t xml:space="preserve"> </w:t>
      </w:r>
      <w:r>
        <w:t xml:space="preserve">Safety is paramount in all chemical engineering operations. All personnel must adhere strictly to the safety guidelines outlined in this protocol.</w:t>
      </w:r>
    </w:p>
    <w:bookmarkStart w:id="22" w:name="personal-protective-equipment-ppe"/>
    <w:p>
      <w:pPr>
        <w:pStyle w:val="Heading3"/>
      </w:pPr>
      <w:r>
        <w:t xml:space="preserve">3.1 Personal Protective Equipment (PPE)</w:t>
      </w:r>
    </w:p>
    <w:p>
      <w:pPr>
        <w:pStyle w:val="FirstParagraph"/>
      </w:pPr>
      <w:r>
        <w:t xml:space="preserve">All Chemical Engineers and laboratory personnel in Lagos must wear appropriate PPE, including:</w:t>
      </w:r>
    </w:p>
    <w:p>
      <w:pPr>
        <w:numPr>
          <w:ilvl w:val="0"/>
          <w:numId w:val="1002"/>
        </w:numPr>
        <w:pStyle w:val="Compact"/>
      </w:pPr>
      <w:r>
        <w:t xml:space="preserve">Safety goggles or face shields</w:t>
      </w:r>
    </w:p>
    <w:p>
      <w:pPr>
        <w:numPr>
          <w:ilvl w:val="0"/>
          <w:numId w:val="1002"/>
        </w:numPr>
        <w:pStyle w:val="Compact"/>
      </w:pPr>
      <w:r>
        <w:t xml:space="preserve">Chemical-resistant gloves</w:t>
      </w:r>
    </w:p>
    <w:p>
      <w:pPr>
        <w:numPr>
          <w:ilvl w:val="0"/>
          <w:numId w:val="1002"/>
        </w:numPr>
        <w:pStyle w:val="Compact"/>
      </w:pPr>
      <w:r>
        <w:t xml:space="preserve">Laboratory coats or protective suits</w:t>
      </w:r>
    </w:p>
    <w:p>
      <w:pPr>
        <w:numPr>
          <w:ilvl w:val="0"/>
          <w:numId w:val="1002"/>
        </w:numPr>
        <w:pStyle w:val="Compact"/>
      </w:pPr>
      <w:r>
        <w:t xml:space="preserve">Safety shoes</w:t>
      </w:r>
    </w:p>
    <w:p>
      <w:pPr>
        <w:numPr>
          <w:ilvl w:val="0"/>
          <w:numId w:val="1002"/>
        </w:numPr>
        <w:pStyle w:val="Compact"/>
      </w:pPr>
      <w:r>
        <w:t xml:space="preserve">Respiratory protection when necessary</w:t>
      </w:r>
    </w:p>
    <w:bookmarkEnd w:id="22"/>
    <w:bookmarkStart w:id="23" w:name="emergency-procedures"/>
    <w:p>
      <w:pPr>
        <w:pStyle w:val="Heading3"/>
      </w:pPr>
      <w:r>
        <w:t xml:space="preserve">3.2 Emergency Procedures</w:t>
      </w:r>
    </w:p>
    <w:p>
      <w:pPr>
        <w:pStyle w:val="FirstParagraph"/>
      </w:pPr>
      <w:r>
        <w:t xml:space="preserve">In the event of an emergency, the following procedures must be followed:</w:t>
      </w:r>
    </w:p>
    <w:p>
      <w:pPr>
        <w:numPr>
          <w:ilvl w:val="0"/>
          <w:numId w:val="1003"/>
        </w:numPr>
        <w:pStyle w:val="Compact"/>
      </w:pPr>
      <w:r>
        <w:t xml:space="preserve">Immediately alert all personnel in the area.</w:t>
      </w:r>
    </w:p>
    <w:p>
      <w:pPr>
        <w:numPr>
          <w:ilvl w:val="0"/>
          <w:numId w:val="1003"/>
        </w:numPr>
        <w:pStyle w:val="Compact"/>
      </w:pPr>
      <w:r>
        <w:t xml:space="preserve">Activate the nearest emergency alarm.</w:t>
      </w:r>
    </w:p>
    <w:p>
      <w:pPr>
        <w:numPr>
          <w:ilvl w:val="0"/>
          <w:numId w:val="1003"/>
        </w:numPr>
        <w:pStyle w:val="Compact"/>
      </w:pPr>
      <w:r>
        <w:t xml:space="preserve">Evacuate the area following designated emergency exits.</w:t>
      </w:r>
    </w:p>
    <w:p>
      <w:pPr>
        <w:numPr>
          <w:ilvl w:val="0"/>
          <w:numId w:val="1003"/>
        </w:numPr>
        <w:pStyle w:val="Compact"/>
      </w:pPr>
      <w:r>
        <w:t xml:space="preserve">Contact local emergency services in Lagos, Nigeria.</w:t>
      </w:r>
    </w:p>
    <w:p>
      <w:pPr>
        <w:numPr>
          <w:ilvl w:val="0"/>
          <w:numId w:val="1003"/>
        </w:numPr>
        <w:pStyle w:val="Compact"/>
      </w:pPr>
      <w:r>
        <w:t xml:space="preserve">Provide detailed information about the incident to emergency responders.</w:t>
      </w:r>
    </w:p>
    <w:bookmarkEnd w:id="23"/>
    <w:bookmarkEnd w:id="24"/>
    <w:bookmarkStart w:id="27" w:name="experimental-setup"/>
    <w:p>
      <w:pPr>
        <w:pStyle w:val="Heading2"/>
      </w:pPr>
      <w:r>
        <w:t xml:space="preserve">4. Experimental Setup</w:t>
      </w:r>
    </w:p>
    <w:bookmarkStart w:id="25" w:name="equipment-requirements"/>
    <w:p>
      <w:pPr>
        <w:pStyle w:val="Heading3"/>
      </w:pPr>
      <w:r>
        <w:t xml:space="preserve">4.1 Equipment Requirements</w:t>
      </w:r>
    </w:p>
    <w:p>
      <w:pPr>
        <w:pStyle w:val="FirstParagraph"/>
      </w:pPr>
      <w:r>
        <w:t xml:space="preserve">The following equipment is essential for conducting experiments according to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Specifications</w:t>
            </w:r>
          </w:p>
        </w:tc>
        <w:tc>
          <w:tcPr/>
          <w:p>
            <w:pPr>
              <w:pStyle w:val="Compact"/>
              <w:jc w:val="left"/>
            </w:pPr>
            <w:r>
              <w:t xml:space="preserve">Quantity</w:t>
            </w:r>
          </w:p>
        </w:tc>
      </w:tr>
      <w:tr>
        <w:tc>
          <w:tcPr/>
          <w:p>
            <w:pPr>
              <w:pStyle w:val="Compact"/>
              <w:jc w:val="left"/>
            </w:pPr>
            <w:r>
              <w:t xml:space="preserve">Reaction Vessel</w:t>
            </w:r>
          </w:p>
        </w:tc>
        <w:tc>
          <w:tcPr/>
          <w:p>
            <w:pPr>
              <w:pStyle w:val="Compact"/>
              <w:jc w:val="left"/>
            </w:pPr>
            <w:r>
              <w:t xml:space="preserve">Stainless steel, 10L capacity</w:t>
            </w:r>
          </w:p>
        </w:tc>
        <w:tc>
          <w:tcPr/>
          <w:p>
            <w:pPr>
              <w:pStyle w:val="Compact"/>
              <w:jc w:val="left"/>
            </w:pPr>
            <w:r>
              <w:t xml:space="preserve">2</w:t>
            </w:r>
          </w:p>
        </w:tc>
      </w:tr>
      <w:tr>
        <w:tc>
          <w:tcPr/>
          <w:p>
            <w:pPr>
              <w:pStyle w:val="Compact"/>
              <w:jc w:val="left"/>
            </w:pPr>
            <w:r>
              <w:t xml:space="preserve">Temperature Controller</w:t>
            </w:r>
          </w:p>
        </w:tc>
        <w:tc>
          <w:tcPr/>
          <w:p>
            <w:pPr>
              <w:pStyle w:val="Compact"/>
              <w:jc w:val="left"/>
            </w:pPr>
            <w:r>
              <w:t xml:space="preserve">Range: -20°C to 200°C</w:t>
            </w:r>
          </w:p>
        </w:tc>
        <w:tc>
          <w:tcPr/>
          <w:p>
            <w:pPr>
              <w:pStyle w:val="Compact"/>
              <w:jc w:val="left"/>
            </w:pPr>
            <w:r>
              <w:t xml:space="preserve">2</w:t>
            </w:r>
          </w:p>
        </w:tc>
      </w:tr>
      <w:tr>
        <w:tc>
          <w:tcPr/>
          <w:p>
            <w:pPr>
              <w:pStyle w:val="Compact"/>
              <w:jc w:val="left"/>
            </w:pPr>
            <w:r>
              <w:t xml:space="preserve">Pressure Gauge</w:t>
            </w:r>
          </w:p>
        </w:tc>
        <w:tc>
          <w:tcPr/>
          <w:p>
            <w:pPr>
              <w:pStyle w:val="Compact"/>
              <w:jc w:val="left"/>
            </w:pPr>
            <w:r>
              <w:t xml:space="preserve">Range: 0-10 bar</w:t>
            </w:r>
          </w:p>
        </w:tc>
        <w:tc>
          <w:tcPr/>
          <w:p>
            <w:pPr>
              <w:pStyle w:val="Compact"/>
              <w:jc w:val="left"/>
            </w:pPr>
            <w:r>
              <w:t xml:space="preserve">2</w:t>
            </w:r>
          </w:p>
        </w:tc>
      </w:tr>
      <w:tr>
        <w:tc>
          <w:tcPr/>
          <w:p>
            <w:pPr>
              <w:pStyle w:val="Compact"/>
              <w:jc w:val="left"/>
            </w:pPr>
            <w:r>
              <w:t xml:space="preserve">Stirrer</w:t>
            </w:r>
          </w:p>
        </w:tc>
        <w:tc>
          <w:tcPr/>
          <w:p>
            <w:pPr>
              <w:pStyle w:val="Compact"/>
              <w:jc w:val="left"/>
            </w:pPr>
            <w:r>
              <w:t xml:space="preserve">Variable speed, 0-1000 RPM</w:t>
            </w:r>
          </w:p>
        </w:tc>
        <w:tc>
          <w:tcPr/>
          <w:p>
            <w:pPr>
              <w:pStyle w:val="Compact"/>
              <w:jc w:val="left"/>
            </w:pPr>
            <w:r>
              <w:t xml:space="preserve">2</w:t>
            </w:r>
          </w:p>
        </w:tc>
      </w:tr>
      <w:tr>
        <w:tc>
          <w:tcPr/>
          <w:p>
            <w:pPr>
              <w:pStyle w:val="Compact"/>
              <w:jc w:val="left"/>
            </w:pPr>
            <w:r>
              <w:t xml:space="preserve">Sampling Port</w:t>
            </w:r>
          </w:p>
        </w:tc>
        <w:tc>
          <w:tcPr/>
          <w:p>
            <w:pPr>
              <w:pStyle w:val="Compact"/>
              <w:jc w:val="left"/>
            </w:pPr>
            <w:r>
              <w:t xml:space="preserve">Standardized for safe sampling</w:t>
            </w:r>
          </w:p>
        </w:tc>
        <w:tc>
          <w:tcPr/>
          <w:p>
            <w:pPr>
              <w:pStyle w:val="Compact"/>
              <w:jc w:val="left"/>
            </w:pPr>
            <w:r>
              <w:t xml:space="preserve">4</w:t>
            </w:r>
          </w:p>
        </w:tc>
      </w:tr>
    </w:tbl>
    <w:bookmarkEnd w:id="25"/>
    <w:bookmarkStart w:id="26" w:name="calibration-and-maintenance"/>
    <w:p>
      <w:pPr>
        <w:pStyle w:val="Heading3"/>
      </w:pPr>
      <w:r>
        <w:t xml:space="preserve">4.2 Calibration and Maintenance</w:t>
      </w:r>
    </w:p>
    <w:p>
      <w:pPr>
        <w:pStyle w:val="FirstParagraph"/>
      </w:pPr>
      <w:r>
        <w:t xml:space="preserve">All equipment must be calibrated regularly according to manufacturer specifications. In Lagos, Nigeria, where environmental conditions can vary, additional attention should be paid to:</w:t>
      </w:r>
    </w:p>
    <w:p>
      <w:pPr>
        <w:numPr>
          <w:ilvl w:val="0"/>
          <w:numId w:val="1004"/>
        </w:numPr>
        <w:pStyle w:val="Compact"/>
      </w:pPr>
      <w:r>
        <w:t xml:space="preserve">Humidity control in sensitive equipment</w:t>
      </w:r>
    </w:p>
    <w:p>
      <w:pPr>
        <w:numPr>
          <w:ilvl w:val="0"/>
          <w:numId w:val="1004"/>
        </w:numPr>
        <w:pStyle w:val="Compact"/>
      </w:pPr>
      <w:r>
        <w:t xml:space="preserve">Power supply stability</w:t>
      </w:r>
    </w:p>
    <w:p>
      <w:pPr>
        <w:numPr>
          <w:ilvl w:val="0"/>
          <w:numId w:val="1004"/>
        </w:numPr>
        <w:pStyle w:val="Compact"/>
      </w:pPr>
      <w:r>
        <w:t xml:space="preserve">Regular inspection for corrosion</w:t>
      </w:r>
    </w:p>
    <w:bookmarkEnd w:id="26"/>
    <w:bookmarkEnd w:id="27"/>
    <w:bookmarkStart w:id="30" w:name="experimental-procedure"/>
    <w:p>
      <w:pPr>
        <w:pStyle w:val="Heading2"/>
      </w:pPr>
      <w:r>
        <w:t xml:space="preserve">5. Experimental Procedure</w:t>
      </w:r>
    </w:p>
    <w:bookmarkStart w:id="28" w:name="pre-experiment-checklist"/>
    <w:p>
      <w:pPr>
        <w:pStyle w:val="Heading3"/>
      </w:pPr>
      <w:r>
        <w:t xml:space="preserve">5.1 Pre-Experiment Checklist</w:t>
      </w:r>
    </w:p>
    <w:p>
      <w:pPr>
        <w:pStyle w:val="FirstParagraph"/>
      </w:pPr>
      <w:r>
        <w:t xml:space="preserve">Before commencing any experiment, the Chemical Engineer must complete the following checklist:</w:t>
      </w:r>
    </w:p>
    <w:p>
      <w:pPr>
        <w:numPr>
          <w:ilvl w:val="0"/>
          <w:numId w:val="1005"/>
        </w:numPr>
        <w:pStyle w:val="Compact"/>
      </w:pPr>
      <w:r>
        <w:t xml:space="preserve">Verify all safety equipment is in place and functional.</w:t>
      </w:r>
    </w:p>
    <w:p>
      <w:pPr>
        <w:numPr>
          <w:ilvl w:val="0"/>
          <w:numId w:val="1005"/>
        </w:numPr>
        <w:pStyle w:val="Compact"/>
      </w:pPr>
      <w:r>
        <w:t xml:space="preserve">Ensure all personnel are briefed on the experiment and safety procedures.</w:t>
      </w:r>
    </w:p>
    <w:p>
      <w:pPr>
        <w:numPr>
          <w:ilvl w:val="0"/>
          <w:numId w:val="1005"/>
        </w:numPr>
        <w:pStyle w:val="Compact"/>
      </w:pPr>
      <w:r>
        <w:t xml:space="preserve">Check that all materials and reagents are properly labeled and stored.</w:t>
      </w:r>
    </w:p>
    <w:p>
      <w:pPr>
        <w:numPr>
          <w:ilvl w:val="0"/>
          <w:numId w:val="1005"/>
        </w:numPr>
        <w:pStyle w:val="Compact"/>
      </w:pPr>
      <w:r>
        <w:t xml:space="preserve">Confirm that emergency procedures are understood by all team members.</w:t>
      </w:r>
    </w:p>
    <w:p>
      <w:pPr>
        <w:numPr>
          <w:ilvl w:val="0"/>
          <w:numId w:val="1005"/>
        </w:numPr>
        <w:pStyle w:val="Compact"/>
      </w:pPr>
      <w:r>
        <w:t xml:space="preserve">Review the experimental protocol for any specific requirements.</w:t>
      </w:r>
    </w:p>
    <w:bookmarkEnd w:id="28"/>
    <w:bookmarkStart w:id="29" w:name="step-by-step-procedure"/>
    <w:p>
      <w:pPr>
        <w:pStyle w:val="Heading3"/>
      </w:pPr>
      <w:r>
        <w:t xml:space="preserve">5.2 Step-by-Step Procedure</w:t>
      </w:r>
    </w:p>
    <w:p>
      <w:pPr>
        <w:numPr>
          <w:ilvl w:val="0"/>
          <w:numId w:val="1006"/>
        </w:numPr>
        <w:pStyle w:val="Compact"/>
      </w:pPr>
      <w:r>
        <w:rPr>
          <w:bCs/>
          <w:b/>
        </w:rPr>
        <w:t xml:space="preserve">Preparation:</w:t>
      </w:r>
      <w:r>
        <w:t xml:space="preserve"> </w:t>
      </w:r>
      <w:r>
        <w:t xml:space="preserve">Set up the experimental apparatus according to the design specifications. Ensure all connections are secure and leak-free.</w:t>
      </w:r>
    </w:p>
    <w:p>
      <w:pPr>
        <w:numPr>
          <w:ilvl w:val="0"/>
          <w:numId w:val="1006"/>
        </w:numPr>
        <w:pStyle w:val="Compact"/>
      </w:pPr>
      <w:r>
        <w:rPr>
          <w:bCs/>
          <w:b/>
        </w:rPr>
        <w:t xml:space="preserve">Calibration:</w:t>
      </w:r>
      <w:r>
        <w:t xml:space="preserve"> </w:t>
      </w:r>
      <w:r>
        <w:t xml:space="preserve">Calibrate all instruments and verify their accuracy.</w:t>
      </w:r>
    </w:p>
    <w:p>
      <w:pPr>
        <w:numPr>
          <w:ilvl w:val="0"/>
          <w:numId w:val="1006"/>
        </w:numPr>
        <w:pStyle w:val="Compact"/>
      </w:pPr>
      <w:r>
        <w:rPr>
          <w:bCs/>
          <w:b/>
        </w:rPr>
        <w:t xml:space="preserve">Material Loading:</w:t>
      </w:r>
      <w:r>
        <w:t xml:space="preserve"> </w:t>
      </w:r>
      <w:r>
        <w:t xml:space="preserve">Carefully load the required materials into the reaction vessel, following the specified quantities and order.</w:t>
      </w:r>
    </w:p>
    <w:p>
      <w:pPr>
        <w:numPr>
          <w:ilvl w:val="0"/>
          <w:numId w:val="1006"/>
        </w:numPr>
        <w:pStyle w:val="Compact"/>
      </w:pPr>
      <w:r>
        <w:rPr>
          <w:bCs/>
          <w:b/>
        </w:rPr>
        <w:t xml:space="preserve">Process Initiation:</w:t>
      </w:r>
      <w:r>
        <w:t xml:space="preserve"> </w:t>
      </w:r>
      <w:r>
        <w:t xml:space="preserve">Start the experiment by initiating the required conditions (temperature, pressure, stirring, etc.).</w:t>
      </w:r>
    </w:p>
    <w:p>
      <w:pPr>
        <w:numPr>
          <w:ilvl w:val="0"/>
          <w:numId w:val="1006"/>
        </w:numPr>
        <w:pStyle w:val="Compact"/>
      </w:pPr>
      <w:r>
        <w:rPr>
          <w:bCs/>
          <w:b/>
        </w:rPr>
        <w:t xml:space="preserve">Monitoring:</w:t>
      </w:r>
      <w:r>
        <w:t xml:space="preserve"> </w:t>
      </w:r>
      <w:r>
        <w:t xml:space="preserve">Continuously monitor the process parameters and record data at regular intervals.</w:t>
      </w:r>
    </w:p>
    <w:p>
      <w:pPr>
        <w:numPr>
          <w:ilvl w:val="0"/>
          <w:numId w:val="1006"/>
        </w:numPr>
        <w:pStyle w:val="Compact"/>
      </w:pPr>
      <w:r>
        <w:rPr>
          <w:bCs/>
          <w:b/>
        </w:rPr>
        <w:t xml:space="preserve">Sampling:</w:t>
      </w:r>
      <w:r>
        <w:t xml:space="preserve"> </w:t>
      </w:r>
      <w:r>
        <w:t xml:space="preserve">Take samples as required for analysis, following proper sampling techniques.</w:t>
      </w:r>
    </w:p>
    <w:p>
      <w:pPr>
        <w:numPr>
          <w:ilvl w:val="0"/>
          <w:numId w:val="1006"/>
        </w:numPr>
        <w:pStyle w:val="Compact"/>
      </w:pPr>
      <w:r>
        <w:rPr>
          <w:bCs/>
          <w:b/>
        </w:rPr>
        <w:t xml:space="preserve">Termination:</w:t>
      </w:r>
      <w:r>
        <w:t xml:space="preserve"> </w:t>
      </w:r>
      <w:r>
        <w:t xml:space="preserve">Safely terminate the experiment when the desired conditions are met or the experiment is complete.</w:t>
      </w:r>
    </w:p>
    <w:p>
      <w:pPr>
        <w:numPr>
          <w:ilvl w:val="0"/>
          <w:numId w:val="1006"/>
        </w:numPr>
        <w:pStyle w:val="Compact"/>
      </w:pPr>
      <w:r>
        <w:rPr>
          <w:bCs/>
          <w:b/>
        </w:rPr>
        <w:t xml:space="preserve">Cleanup:</w:t>
      </w:r>
      <w:r>
        <w:t xml:space="preserve"> </w:t>
      </w:r>
      <w:r>
        <w:t xml:space="preserve">Properly dispose of all materials and clean the equipment according to established procedures.</w:t>
      </w:r>
    </w:p>
    <w:bookmarkEnd w:id="29"/>
    <w:bookmarkEnd w:id="30"/>
    <w:bookmarkStart w:id="31" w:name="data-collection-and-analysis"/>
    <w:p>
      <w:pPr>
        <w:pStyle w:val="Heading2"/>
      </w:pPr>
      <w:r>
        <w:t xml:space="preserve">6. Data Collection and Analysis</w:t>
      </w:r>
    </w:p>
    <w:p>
      <w:pPr>
        <w:pStyle w:val="FirstParagraph"/>
      </w:pPr>
      <w:r>
        <w:t xml:space="preserve">All data collected during the experiment must be recorded accurately and systematically. The Chemical Engineer should:</w:t>
      </w:r>
    </w:p>
    <w:p>
      <w:pPr>
        <w:numPr>
          <w:ilvl w:val="0"/>
          <w:numId w:val="1007"/>
        </w:numPr>
        <w:pStyle w:val="Compact"/>
      </w:pPr>
      <w:r>
        <w:t xml:space="preserve">Use standardized data sheets for recording observations.</w:t>
      </w:r>
    </w:p>
    <w:p>
      <w:pPr>
        <w:numPr>
          <w:ilvl w:val="0"/>
          <w:numId w:val="1007"/>
        </w:numPr>
        <w:pStyle w:val="Compact"/>
      </w:pPr>
      <w:r>
        <w:t xml:space="preserve">Ensure all measurements are taken using calibrated instruments.</w:t>
      </w:r>
    </w:p>
    <w:p>
      <w:pPr>
        <w:numPr>
          <w:ilvl w:val="0"/>
          <w:numId w:val="1007"/>
        </w:numPr>
        <w:pStyle w:val="Compact"/>
      </w:pPr>
      <w:r>
        <w:t xml:space="preserve">Document any deviations from the expected procedure.</w:t>
      </w:r>
    </w:p>
    <w:p>
      <w:pPr>
        <w:numPr>
          <w:ilvl w:val="0"/>
          <w:numId w:val="1007"/>
        </w:numPr>
        <w:pStyle w:val="Compact"/>
      </w:pPr>
      <w:r>
        <w:t xml:space="preserve">Analyze data using appropriate statistical methods.</w:t>
      </w:r>
    </w:p>
    <w:p>
      <w:pPr>
        <w:numPr>
          <w:ilvl w:val="0"/>
          <w:numId w:val="1007"/>
        </w:numPr>
        <w:pStyle w:val="Compact"/>
      </w:pPr>
      <w:r>
        <w:t xml:space="preserve">Prepare a comprehensive report detailing the experimental results.</w:t>
      </w:r>
    </w:p>
    <w:bookmarkEnd w:id="31"/>
    <w:bookmarkStart w:id="32" w:name="environmental-considerations"/>
    <w:p>
      <w:pPr>
        <w:pStyle w:val="Heading2"/>
      </w:pPr>
      <w:r>
        <w:t xml:space="preserve">7. Environmental Considerations</w:t>
      </w:r>
    </w:p>
    <w:p>
      <w:pPr>
        <w:pStyle w:val="FirstParagraph"/>
      </w:pPr>
      <w:r>
        <w:rPr>
          <w:bCs/>
          <w:b/>
        </w:rPr>
        <w:t xml:space="preserve">Note:</w:t>
      </w:r>
      <w:r>
        <w:t xml:space="preserve"> </w:t>
      </w:r>
      <w:r>
        <w:t xml:space="preserve">Given the environmental sensitivity of Lagos, Nigeria, special attention must be paid to waste management and pollution prevention.</w:t>
      </w:r>
    </w:p>
    <w:p>
      <w:pPr>
        <w:pStyle w:val="BodyText"/>
      </w:pPr>
      <w:r>
        <w:t xml:space="preserve">All chemical waste must be handled and disposed of in accordance with Nigerian environmental regulations. This includes:</w:t>
      </w:r>
    </w:p>
    <w:p>
      <w:pPr>
        <w:numPr>
          <w:ilvl w:val="0"/>
          <w:numId w:val="1008"/>
        </w:numPr>
        <w:pStyle w:val="Compact"/>
      </w:pPr>
      <w:r>
        <w:t xml:space="preserve">Proper segregation of different types of waste.</w:t>
      </w:r>
    </w:p>
    <w:p>
      <w:pPr>
        <w:numPr>
          <w:ilvl w:val="0"/>
          <w:numId w:val="1008"/>
        </w:numPr>
        <w:pStyle w:val="Compact"/>
      </w:pPr>
      <w:r>
        <w:t xml:space="preserve">Use of approved waste disposal facilities.</w:t>
      </w:r>
    </w:p>
    <w:p>
      <w:pPr>
        <w:numPr>
          <w:ilvl w:val="0"/>
          <w:numId w:val="1008"/>
        </w:numPr>
        <w:pStyle w:val="Compact"/>
      </w:pPr>
      <w:r>
        <w:t xml:space="preserve">Implementation of measures to prevent air and water pollution.</w:t>
      </w:r>
    </w:p>
    <w:p>
      <w:pPr>
        <w:numPr>
          <w:ilvl w:val="0"/>
          <w:numId w:val="1008"/>
        </w:numPr>
        <w:pStyle w:val="Compact"/>
      </w:pPr>
      <w:r>
        <w:t xml:space="preserve">Regular monitoring of environmental impact.</w:t>
      </w:r>
    </w:p>
    <w:bookmarkEnd w:id="32"/>
    <w:bookmarkStart w:id="33" w:name="quality-assurance"/>
    <w:p>
      <w:pPr>
        <w:pStyle w:val="Heading2"/>
      </w:pPr>
      <w:r>
        <w:t xml:space="preserve">8. Quality Assurance</w:t>
      </w:r>
    </w:p>
    <w:p>
      <w:pPr>
        <w:pStyle w:val="FirstParagraph"/>
      </w:pPr>
      <w:r>
        <w:t xml:space="preserve">To ensure the reliability and reproducibility of experimental results, the following quality assurance measures must be implemented:</w:t>
      </w:r>
    </w:p>
    <w:p>
      <w:pPr>
        <w:numPr>
          <w:ilvl w:val="0"/>
          <w:numId w:val="1009"/>
        </w:numPr>
        <w:pStyle w:val="Compact"/>
      </w:pPr>
      <w:r>
        <w:t xml:space="preserve">Regular training of personnel on experimental procedures and safety protocols.</w:t>
      </w:r>
    </w:p>
    <w:p>
      <w:pPr>
        <w:numPr>
          <w:ilvl w:val="0"/>
          <w:numId w:val="1009"/>
        </w:numPr>
        <w:pStyle w:val="Compact"/>
      </w:pPr>
      <w:r>
        <w:t xml:space="preserve">Periodic review and update of the experimental protocol.</w:t>
      </w:r>
    </w:p>
    <w:p>
      <w:pPr>
        <w:numPr>
          <w:ilvl w:val="0"/>
          <w:numId w:val="1009"/>
        </w:numPr>
        <w:pStyle w:val="Compact"/>
      </w:pPr>
      <w:r>
        <w:t xml:space="preserve">Internal audits to verify compliance with the protocol.</w:t>
      </w:r>
    </w:p>
    <w:p>
      <w:pPr>
        <w:numPr>
          <w:ilvl w:val="0"/>
          <w:numId w:val="1009"/>
        </w:numPr>
        <w:pStyle w:val="Compact"/>
      </w:pPr>
      <w:r>
        <w:t xml:space="preserve">Documentation of all experimental activities and results.</w:t>
      </w:r>
    </w:p>
    <w:bookmarkEnd w:id="33"/>
    <w:bookmarkStart w:id="34" w:name="conclusion"/>
    <w:p>
      <w:pPr>
        <w:pStyle w:val="Heading2"/>
      </w:pPr>
      <w:r>
        <w:t xml:space="preserve">9. Conclusion</w:t>
      </w:r>
    </w:p>
    <w:p>
      <w:pPr>
        <w:pStyle w:val="FirstParagraph"/>
      </w:pPr>
      <w:r>
        <w:t xml:space="preserve">This Experiment Protocol provides a comprehensive framework for Chemical Engineers operating in Lagos, Nigeria. By adhering to these guidelines, engineers can ensure the safety, efficiency, and environmental responsibility of their experimental activities. Regular review and adaptation of this protocol will help maintain its relevance and effectiveness in the dynamic industrial environment of Lagos.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Nigeria Lagos</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