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32" w:name="X7b2d6be64aa17be42315ef9c4af518728904334"/>
    <w:p>
      <w:pPr>
        <w:pStyle w:val="Heading1"/>
      </w:pPr>
      <w:r>
        <w:t xml:space="preserve">Experiment Protocol: Chemical Engineer - Pakistan Karachi</w:t>
      </w:r>
    </w:p>
    <w:p>
      <w:pPr>
        <w:pStyle w:val="FirstParagraph"/>
      </w:pPr>
      <w:r>
        <w:rPr>
          <w:bCs/>
          <w:b/>
        </w:rPr>
        <w:t xml:space="preserve">Document Title:</w:t>
      </w:r>
      <w:r>
        <w:t xml:space="preserve"> </w:t>
      </w:r>
      <w:r>
        <w:t xml:space="preserve">Standard Operating Procedure for Industrial Water Treatment and Desalination Efficiency Testing</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Pakistan Karachi (Industrial Zone / Refinery Sector)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 Chemical Engineer operating within the industrial landscape of Pakistan Karachi. Given the region's proximity to the Arabian Sea and the high salinity of local groundwater sources, water treatment is a critical challenge. The primary objective of this experiment is to evaluate the efficiency of a novel coagulation-flocculation process using locally sourced alum and poly-aluminum chloride (PAC) to treat brackish water samples collected from the Karachi coastal industrial belt.</w:t>
      </w:r>
    </w:p>
    <w:p>
      <w:pPr>
        <w:pStyle w:val="BodyText"/>
      </w:pPr>
      <w:r>
        <w:t xml:space="preserve">The Chemical Engineer must ensure that the experimental data aligns with the standards set by the Pakistan Environmental Protection Agency (PEPA) and the Karachi Water and Sewerage Board (KWSB). This protocol aims to optimize chemical dosing to reduce Total Dissolved Solids (TDS) and turbidity, ensuring the treated water is suitable for industrial cooling towers and boiler feed systems common in Karachi's refining and textile sectors.</w:t>
      </w:r>
    </w:p>
    <w:bookmarkEnd w:id="20"/>
    <w:bookmarkStart w:id="21" w:name="scope-and-applicability"/>
    <w:p>
      <w:pPr>
        <w:pStyle w:val="Heading2"/>
      </w:pPr>
      <w:r>
        <w:t xml:space="preserve">2. Scope and Applicability</w:t>
      </w:r>
    </w:p>
    <w:p>
      <w:pPr>
        <w:pStyle w:val="FirstParagraph"/>
      </w:pPr>
      <w:r>
        <w:t xml:space="preserve">This protocol applies to all laboratory and pilot-scale testing conducted by the Chemical Engineer in facilities located in Pakistan Karachi. It addresses the specific environmental conditions of the region, including high ambient temperatures and humidity, which can affect chemical reaction rates and equipment performance. The scope includes sample collection, reagent preparation, jar testing, data analysis, and waste disposal in compliance with local regulations.</w:t>
      </w:r>
    </w:p>
    <w:bookmarkEnd w:id="21"/>
    <w:bookmarkStart w:id="22" w:name="X0456acdd3e0174d6058d4509a8695628f9f0d00"/>
    <w:p>
      <w:pPr>
        <w:pStyle w:val="Heading2"/>
      </w:pPr>
      <w:r>
        <w:t xml:space="preserve">3. Safety and Personal Protective Equipment (PPE)</w:t>
      </w:r>
    </w:p>
    <w:p>
      <w:pPr>
        <w:pStyle w:val="FirstParagraph"/>
      </w:pPr>
      <w:r>
        <w:t xml:space="preserve">Safety is paramount for the Chemical Engineer. The following PPE is mandatory during all phases of this experiment:</w:t>
      </w:r>
    </w:p>
    <w:p>
      <w:pPr>
        <w:numPr>
          <w:ilvl w:val="0"/>
          <w:numId w:val="1001"/>
        </w:numPr>
        <w:pStyle w:val="Compact"/>
      </w:pPr>
      <w:r>
        <w:t xml:space="preserve">Lab coat (chemical resistant)</w:t>
      </w:r>
    </w:p>
    <w:p>
      <w:pPr>
        <w:numPr>
          <w:ilvl w:val="0"/>
          <w:numId w:val="1001"/>
        </w:numPr>
        <w:pStyle w:val="Compact"/>
      </w:pPr>
      <w:r>
        <w:t xml:space="preserve">Safety goggles (ANSI Z87.1 compliant)</w:t>
      </w:r>
    </w:p>
    <w:p>
      <w:pPr>
        <w:numPr>
          <w:ilvl w:val="0"/>
          <w:numId w:val="1001"/>
        </w:numPr>
        <w:pStyle w:val="Compact"/>
      </w:pPr>
      <w:r>
        <w:t xml:space="preserve">Nitrile gloves</w:t>
      </w:r>
    </w:p>
    <w:p>
      <w:pPr>
        <w:numPr>
          <w:ilvl w:val="0"/>
          <w:numId w:val="1001"/>
        </w:numPr>
        <w:pStyle w:val="Compact"/>
      </w:pPr>
      <w:r>
        <w:t xml:space="preserve">Closed-toe shoes</w:t>
      </w:r>
    </w:p>
    <w:p>
      <w:pPr>
        <w:numPr>
          <w:ilvl w:val="0"/>
          <w:numId w:val="1001"/>
        </w:numPr>
        <w:pStyle w:val="Compact"/>
      </w:pPr>
      <w:r>
        <w:t xml:space="preserve">Respiratory protection (if handling dry alum powder)</w:t>
      </w:r>
    </w:p>
    <w:p>
      <w:pPr>
        <w:pStyle w:val="FirstParagraph"/>
      </w:pPr>
      <w:r>
        <w:t xml:space="preserve">Warning: The chemicals used in this experiment, particularly alum and PAC, can cause skin and eye irritation. In the event of a spill, follow the emergency procedures outlined in the facility's Safety Data Sheet (SDS) library.</w:t>
      </w:r>
    </w:p>
    <w:bookmarkEnd w:id="22"/>
    <w:bookmarkStart w:id="23" w:name="materials-and-equipment"/>
    <w:p>
      <w:pPr>
        <w:pStyle w:val="Heading2"/>
      </w:pPr>
      <w:r>
        <w:t xml:space="preserve">4. Materials and Equipment</w:t>
      </w:r>
    </w:p>
    <w:p>
      <w:pPr>
        <w:pStyle w:val="FirstParagraph"/>
      </w:pPr>
      <w:r>
        <w:t xml:space="preserve">The Chemical Engineer must ensure the following materials and equipment are available and calibrated before commencing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Samples</w:t>
            </w:r>
          </w:p>
        </w:tc>
        <w:tc>
          <w:tcPr/>
          <w:p>
            <w:pPr>
              <w:pStyle w:val="Compact"/>
              <w:jc w:val="left"/>
            </w:pPr>
            <w:r>
              <w:t xml:space="preserve">Brackish water from Karachi coastal source</w:t>
            </w:r>
          </w:p>
        </w:tc>
        <w:tc>
          <w:tcPr/>
          <w:p>
            <w:pPr>
              <w:pStyle w:val="Compact"/>
              <w:jc w:val="left"/>
            </w:pPr>
            <w:r>
              <w:t xml:space="preserve">5 Liters</w:t>
            </w:r>
          </w:p>
        </w:tc>
      </w:tr>
      <w:tr>
        <w:tc>
          <w:tcPr/>
          <w:p>
            <w:pPr>
              <w:pStyle w:val="Compact"/>
              <w:jc w:val="left"/>
            </w:pPr>
            <w:r>
              <w:t xml:space="preserve">Coagulant</w:t>
            </w:r>
          </w:p>
        </w:tc>
        <w:tc>
          <w:tcPr/>
          <w:p>
            <w:pPr>
              <w:pStyle w:val="Compact"/>
              <w:jc w:val="left"/>
            </w:pPr>
            <w:r>
              <w:t xml:space="preserve">Alum (Aluminum Sulfate)</w:t>
            </w:r>
          </w:p>
        </w:tc>
        <w:tc>
          <w:tcPr/>
          <w:p>
            <w:pPr>
              <w:pStyle w:val="Compact"/>
              <w:jc w:val="left"/>
            </w:pPr>
            <w:r>
              <w:t xml:space="preserve">500 grams</w:t>
            </w:r>
          </w:p>
        </w:tc>
      </w:tr>
      <w:tr>
        <w:tc>
          <w:tcPr/>
          <w:p>
            <w:pPr>
              <w:pStyle w:val="Compact"/>
              <w:jc w:val="left"/>
            </w:pPr>
            <w:r>
              <w:t xml:space="preserve">Flocculant</w:t>
            </w:r>
          </w:p>
        </w:tc>
        <w:tc>
          <w:tcPr/>
          <w:p>
            <w:pPr>
              <w:pStyle w:val="Compact"/>
              <w:jc w:val="left"/>
            </w:pPr>
            <w:r>
              <w:t xml:space="preserve">Poly-aluminum Chloride (PAC)</w:t>
            </w:r>
          </w:p>
        </w:tc>
        <w:tc>
          <w:tcPr/>
          <w:p>
            <w:pPr>
              <w:pStyle w:val="Compact"/>
              <w:jc w:val="left"/>
            </w:pPr>
            <w:r>
              <w:t xml:space="preserve">200 grams</w:t>
            </w:r>
          </w:p>
        </w:tc>
      </w:tr>
      <w:tr>
        <w:tc>
          <w:tcPr/>
          <w:p>
            <w:pPr>
              <w:pStyle w:val="Compact"/>
              <w:jc w:val="left"/>
            </w:pPr>
            <w:r>
              <w:t xml:space="preserve">Jar Tester</w:t>
            </w:r>
          </w:p>
        </w:tc>
        <w:tc>
          <w:tcPr/>
          <w:p>
            <w:pPr>
              <w:pStyle w:val="Compact"/>
              <w:jc w:val="left"/>
            </w:pPr>
            <w:r>
              <w:t xml:space="preserve">6-paddle mechanical stirrer</w:t>
            </w:r>
          </w:p>
        </w:tc>
        <w:tc>
          <w:tcPr/>
          <w:p>
            <w:pPr>
              <w:pStyle w:val="Compact"/>
              <w:jc w:val="left"/>
            </w:pPr>
            <w:r>
              <w:t xml:space="preserve">1 unit</w:t>
            </w:r>
          </w:p>
        </w:tc>
      </w:tr>
      <w:tr>
        <w:tc>
          <w:tcPr/>
          <w:p>
            <w:pPr>
              <w:pStyle w:val="Compact"/>
              <w:jc w:val="left"/>
            </w:pPr>
            <w:r>
              <w:t xml:space="preserve">Turbidity Meter</w:t>
            </w:r>
          </w:p>
        </w:tc>
        <w:tc>
          <w:tcPr/>
          <w:p>
            <w:pPr>
              <w:pStyle w:val="Compact"/>
              <w:jc w:val="left"/>
            </w:pPr>
            <w:r>
              <w:t xml:space="preserve">Nephelometric Turbidity Unit (NTU) range 0-1000</w:t>
            </w:r>
          </w:p>
        </w:tc>
        <w:tc>
          <w:tcPr/>
          <w:p>
            <w:pPr>
              <w:pStyle w:val="Compact"/>
              <w:jc w:val="left"/>
            </w:pPr>
            <w:r>
              <w:t xml:space="preserve">1 unit</w:t>
            </w:r>
          </w:p>
        </w:tc>
      </w:tr>
      <w:tr>
        <w:tc>
          <w:tcPr/>
          <w:p>
            <w:pPr>
              <w:pStyle w:val="Compact"/>
              <w:jc w:val="left"/>
            </w:pPr>
            <w:r>
              <w:t xml:space="preserve">pH Meter</w:t>
            </w:r>
          </w:p>
        </w:tc>
        <w:tc>
          <w:tcPr/>
          <w:p>
            <w:pPr>
              <w:pStyle w:val="Compact"/>
              <w:jc w:val="left"/>
            </w:pPr>
            <w:r>
              <w:t xml:space="preserve">Calibrated with standard buffers</w:t>
            </w:r>
          </w:p>
        </w:tc>
        <w:tc>
          <w:tcPr/>
          <w:p>
            <w:pPr>
              <w:pStyle w:val="Compact"/>
              <w:jc w:val="left"/>
            </w:pPr>
            <w:r>
              <w:t xml:space="preserve">1 unit</w:t>
            </w:r>
          </w:p>
        </w:tc>
      </w:tr>
      <w:tr>
        <w:tc>
          <w:tcPr/>
          <w:p>
            <w:pPr>
              <w:pStyle w:val="Compact"/>
              <w:jc w:val="left"/>
            </w:pPr>
            <w:r>
              <w:t xml:space="preserve">TDS Meter</w:t>
            </w:r>
          </w:p>
        </w:tc>
        <w:tc>
          <w:tcPr/>
          <w:p>
            <w:pPr>
              <w:pStyle w:val="Compact"/>
              <w:jc w:val="left"/>
            </w:pPr>
            <w:r>
              <w:t xml:space="preserve">Conductivity-based TDS meter</w:t>
            </w:r>
          </w:p>
        </w:tc>
        <w:tc>
          <w:tcPr/>
          <w:p>
            <w:pPr>
              <w:pStyle w:val="Compact"/>
              <w:jc w:val="left"/>
            </w:pPr>
            <w:r>
              <w:t xml:space="preserve">1 unit</w:t>
            </w:r>
          </w:p>
        </w:tc>
      </w:tr>
      <w:tr>
        <w:tc>
          <w:tcPr/>
          <w:p>
            <w:pPr>
              <w:pStyle w:val="Compact"/>
              <w:jc w:val="left"/>
            </w:pPr>
            <w:r>
              <w:t xml:space="preserve">Beakers</w:t>
            </w:r>
          </w:p>
        </w:tc>
        <w:tc>
          <w:tcPr/>
          <w:p>
            <w:pPr>
              <w:pStyle w:val="Compact"/>
              <w:jc w:val="left"/>
            </w:pPr>
            <w:r>
              <w:t xml:space="preserve">1000 mL borosilicate glass</w:t>
            </w:r>
          </w:p>
        </w:tc>
        <w:tc>
          <w:tcPr/>
          <w:p>
            <w:pPr>
              <w:pStyle w:val="Compact"/>
              <w:jc w:val="left"/>
            </w:pPr>
            <w:r>
              <w:t xml:space="preserve">6 units</w:t>
            </w:r>
          </w:p>
        </w:tc>
      </w:tr>
    </w:tbl>
    <w:bookmarkEnd w:id="23"/>
    <w:bookmarkStart w:id="28" w:name="experimental-procedure"/>
    <w:p>
      <w:pPr>
        <w:pStyle w:val="Heading2"/>
      </w:pPr>
      <w:r>
        <w:t xml:space="preserve">5. Experimental Procedure</w:t>
      </w:r>
    </w:p>
    <w:bookmarkStart w:id="24" w:name="sample-collection-and-preparation"/>
    <w:p>
      <w:pPr>
        <w:pStyle w:val="Heading3"/>
      </w:pPr>
      <w:r>
        <w:t xml:space="preserve">5.1 Sample Collection and Preparation</w:t>
      </w:r>
    </w:p>
    <w:p>
      <w:pPr>
        <w:pStyle w:val="FirstParagraph"/>
      </w:pPr>
      <w:r>
        <w:t xml:space="preserve">The Chemical Engineer must collect water samples from the designated intake point in Pakistan Karachi. Samples should be stored in clean, dark bottles at 4°C to prevent biological growth. Before testing, allow the samples to reach room temperature (approximately 30°C, typical for Karachi) to simulate real-world conditions.</w:t>
      </w:r>
    </w:p>
    <w:bookmarkEnd w:id="24"/>
    <w:bookmarkStart w:id="25" w:name="jar-testing-setup"/>
    <w:p>
      <w:pPr>
        <w:pStyle w:val="Heading3"/>
      </w:pPr>
      <w:r>
        <w:t xml:space="preserve">5.2 Jar Testing Setup</w:t>
      </w:r>
    </w:p>
    <w:p>
      <w:pPr>
        <w:pStyle w:val="FirstParagraph"/>
      </w:pPr>
      <w:r>
        <w:t xml:space="preserve">Prepare six 1000 mL beakers, each filled with 500 mL of the brackish water sample. Label them according to the coagulant dosage to be tested (e.g., 0 mg/L, 20 mg/L, 40 mg/L, 60 mg/L, 80 mg/L, 100 mg/L). Place the beakers on the jar tester.</w:t>
      </w:r>
    </w:p>
    <w:bookmarkEnd w:id="25"/>
    <w:bookmarkStart w:id="26" w:name="coagulation-and-flocculation"/>
    <w:p>
      <w:pPr>
        <w:pStyle w:val="Heading3"/>
      </w:pPr>
      <w:r>
        <w:t xml:space="preserve">5.3 Coagulation and Flocculation</w:t>
      </w:r>
    </w:p>
    <w:p>
      <w:pPr>
        <w:pStyle w:val="FirstParagraph"/>
      </w:pPr>
      <w:r>
        <w:t xml:space="preserve">Adjust the pH of each sample to 6.5-7.5 using dilute NaOH or HCl, as this is the optimal range for alum coagulation. Start the jar tester at a rapid mix speed of 100 rpm for 1 minute to disperse the coagulant. Then, reduce the speed to 30 rpm for 15 minutes to allow floc formation. Finally, stop the stirrer and allow the flocs to settle for 30 minutes.</w:t>
      </w:r>
    </w:p>
    <w:bookmarkEnd w:id="26"/>
    <w:bookmarkStart w:id="27" w:name="data-collection"/>
    <w:p>
      <w:pPr>
        <w:pStyle w:val="Heading3"/>
      </w:pPr>
      <w:r>
        <w:t xml:space="preserve">5.4 Data Collection</w:t>
      </w:r>
    </w:p>
    <w:p>
      <w:pPr>
        <w:pStyle w:val="FirstParagraph"/>
      </w:pPr>
      <w:r>
        <w:t xml:space="preserve">After the settling period, the Chemical Engineer must carefully collect supernatant samples from each beaker using a pipette. Measure the turbidity, pH, and TDS of each sample using the calibrated meters. Record all data in the provided logbook.</w:t>
      </w:r>
    </w:p>
    <w:bookmarkEnd w:id="27"/>
    <w:bookmarkEnd w:id="28"/>
    <w:bookmarkStart w:id="29" w:name="data-analysis-and-interpretation"/>
    <w:p>
      <w:pPr>
        <w:pStyle w:val="Heading2"/>
      </w:pPr>
      <w:r>
        <w:t xml:space="preserve">6. Data Analysis and Interpretation</w:t>
      </w:r>
    </w:p>
    <w:p>
      <w:pPr>
        <w:pStyle w:val="FirstParagraph"/>
      </w:pPr>
      <w:r>
        <w:t xml:space="preserve">The Chemical Engineer must plot the turbidity and TDS values against the coagulant dosage to determine the optimal dose. The goal is to identify the dosage that achieves the lowest turbidity and TDS while minimizing chemical usage. Compare the results with the PEPA standards for industrial wastewater discharge in Pakistan Karachi. If the treated water does not meet the standards, the Chemical Engineer must adjust the pH or consider alternative coagulants.</w:t>
      </w:r>
    </w:p>
    <w:bookmarkEnd w:id="29"/>
    <w:bookmarkStart w:id="30" w:name="waste-disposal"/>
    <w:p>
      <w:pPr>
        <w:pStyle w:val="Heading2"/>
      </w:pPr>
      <w:r>
        <w:t xml:space="preserve">7. Waste Disposal</w:t>
      </w:r>
    </w:p>
    <w:p>
      <w:pPr>
        <w:pStyle w:val="FirstParagraph"/>
      </w:pPr>
      <w:r>
        <w:t xml:space="preserve">All chemical waste generated during this experiment must be disposed of in accordance with the regulations of the Sindh Environmental Protection Agency (SEPA). Sludge from the jar testing should be collected in a designated container and treated as hazardous waste. Do not dispose of chemical waste down the drain.</w:t>
      </w:r>
    </w:p>
    <w:bookmarkEnd w:id="30"/>
    <w:bookmarkStart w:id="31" w:name="conclusion"/>
    <w:p>
      <w:pPr>
        <w:pStyle w:val="Heading2"/>
      </w:pPr>
      <w:r>
        <w:t xml:space="preserve">8. Conclusion</w:t>
      </w:r>
    </w:p>
    <w:p>
      <w:pPr>
        <w:pStyle w:val="FirstParagraph"/>
      </w:pPr>
      <w:r>
        <w:t xml:space="preserve">This Experiment Protocol provides a structured approach for the Chemical Engineer to evaluate water treatment processes in Pakistan Karachi. By following this protocol, the Chemical Engineer can contribute to the development of sustainable water management solutions that address the unique challenges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Pakistan Karachi</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