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Chemical Engineer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10, 2023</w:t>
      </w:r>
    </w:p>
    <w:bookmarkEnd w:id="20"/>
    <w:p>
      <w:pPr>
        <w:pStyle w:val="BodyText"/>
      </w:pPr>
      <w:r>
        <w:t xml:space="preserve">1. Introduction</w:t>
      </w:r>
    </w:p>
    <w:p>
      <w:pPr>
        <w:pStyle w:val="BodyText"/>
      </w:pPr>
      <w:r>
        <w:t xml:space="preserve">This Experiment Protocol outlines the procedures and guidelines for conducting chemical engineering experiments in Qatar Doha. The protocol is designed to ensure safety, accuracy, and compliance with local regulations and international standards. It is intended for use by Chemical Engineers working in research, development, and industrial applications in the region.</w:t>
      </w:r>
    </w:p>
    <w:p>
      <w:pPr>
        <w:pStyle w:val="BodyText"/>
      </w:pPr>
      <w:r>
        <w:t xml:space="preserve">2. Objectives</w:t>
      </w:r>
    </w:p>
    <w:p>
      <w:pPr>
        <w:pStyle w:val="BodyText"/>
      </w:pPr>
      <w:r>
        <w:t xml:space="preserve">The primary objectives of this protocol are:</w:t>
      </w:r>
    </w:p>
    <w:p>
      <w:pPr>
        <w:numPr>
          <w:ilvl w:val="0"/>
          <w:numId w:val="1001"/>
        </w:numPr>
        <w:pStyle w:val="Compact"/>
      </w:pPr>
      <w:r>
        <w:t xml:space="preserve">To establish a standardized procedure for conducting chemical engineering experiments in Qatar Doha.</w:t>
      </w:r>
    </w:p>
    <w:p>
      <w:pPr>
        <w:numPr>
          <w:ilvl w:val="0"/>
          <w:numId w:val="1001"/>
        </w:numPr>
        <w:pStyle w:val="Compact"/>
      </w:pPr>
      <w:r>
        <w:t xml:space="preserve">To ensure the safety of personnel and the environment.</w:t>
      </w:r>
    </w:p>
    <w:p>
      <w:pPr>
        <w:numPr>
          <w:ilvl w:val="0"/>
          <w:numId w:val="1001"/>
        </w:numPr>
        <w:pStyle w:val="Compact"/>
      </w:pPr>
      <w:r>
        <w:t xml:space="preserve">To maintain the integrity and reliability of experimental data.</w:t>
      </w:r>
    </w:p>
    <w:p>
      <w:pPr>
        <w:numPr>
          <w:ilvl w:val="0"/>
          <w:numId w:val="1001"/>
        </w:numPr>
        <w:pStyle w:val="Compact"/>
      </w:pPr>
      <w:r>
        <w:t xml:space="preserve">To comply with local and international regulations.</w:t>
      </w:r>
    </w:p>
    <w:p>
      <w:pPr>
        <w:pStyle w:val="FirstParagraph"/>
      </w:pPr>
      <w:r>
        <w:t xml:space="preserve">3. Scope</w:t>
      </w:r>
    </w:p>
    <w:p>
      <w:pPr>
        <w:pStyle w:val="BodyText"/>
      </w:pPr>
      <w:r>
        <w:t xml:space="preserve">This protocol applies to all Chemical Engineers and laboratory personnel conducting experiments in Qatar Doha. It covers the preparation, execution, and documentation of experiments involving chemical processes, materials, and reactions.</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Chemical Engineer</w:t>
            </w:r>
          </w:p>
        </w:tc>
        <w:tc>
          <w:tcPr/>
          <w:p>
            <w:pPr>
              <w:pStyle w:val="Compact"/>
              <w:jc w:val="left"/>
            </w:pPr>
            <w:r>
              <w:t xml:space="preserve">Design and conduct experiments, ensure safety, document results.</w:t>
            </w:r>
          </w:p>
        </w:tc>
      </w:tr>
      <w:tr>
        <w:tc>
          <w:tcPr/>
          <w:p>
            <w:pPr>
              <w:pStyle w:val="Compact"/>
              <w:jc w:val="left"/>
            </w:pPr>
            <w:r>
              <w:t xml:space="preserve">Laboratory Technician</w:t>
            </w:r>
          </w:p>
        </w:tc>
        <w:tc>
          <w:tcPr/>
          <w:p>
            <w:pPr>
              <w:pStyle w:val="Compact"/>
              <w:jc w:val="left"/>
            </w:pPr>
            <w:r>
              <w:t xml:space="preserve">Prepare materials, assist in experiments, maintain equipment.</w:t>
            </w:r>
          </w:p>
        </w:tc>
      </w:tr>
      <w:tr>
        <w:tc>
          <w:tcPr/>
          <w:p>
            <w:pPr>
              <w:pStyle w:val="Compact"/>
              <w:jc w:val="left"/>
            </w:pPr>
            <w:r>
              <w:t xml:space="preserve">Safety Officer</w:t>
            </w:r>
          </w:p>
        </w:tc>
        <w:tc>
          <w:tcPr/>
          <w:p>
            <w:pPr>
              <w:pStyle w:val="Compact"/>
              <w:jc w:val="left"/>
            </w:pPr>
            <w:r>
              <w:t xml:space="preserve">Monitor safety compliance, conduct training, handle emergencies.</w:t>
            </w:r>
          </w:p>
        </w:tc>
      </w:tr>
      <w:tr>
        <w:tc>
          <w:tcPr/>
          <w:p>
            <w:pPr>
              <w:pStyle w:val="Compact"/>
              <w:jc w:val="left"/>
            </w:pPr>
            <w:r>
              <w:t xml:space="preserve">Quality Assurance</w:t>
            </w:r>
          </w:p>
        </w:tc>
        <w:tc>
          <w:tcPr/>
          <w:p>
            <w:pPr>
              <w:pStyle w:val="Compact"/>
              <w:jc w:val="left"/>
            </w:pPr>
            <w:r>
              <w:t xml:space="preserve">Review protocols, ensure data integrity, conduct audits.</w:t>
            </w:r>
          </w:p>
        </w:tc>
      </w:tr>
    </w:tbl>
    <w:p>
      <w:pPr>
        <w:pStyle w:val="BodyText"/>
      </w:pPr>
      <w:r>
        <w:t xml:space="preserve">5. Safety Procedures</w:t>
      </w:r>
    </w:p>
    <w:p>
      <w:pPr>
        <w:pStyle w:val="BodyText"/>
      </w:pPr>
      <w:r>
        <w:t xml:space="preserve">All personnel must adhere to the following safety procedures:</w:t>
      </w:r>
    </w:p>
    <w:p>
      <w:pPr>
        <w:numPr>
          <w:ilvl w:val="0"/>
          <w:numId w:val="1002"/>
        </w:numPr>
        <w:pStyle w:val="Compact"/>
      </w:pPr>
      <w:r>
        <w:t xml:space="preserve">Wear appropriate personal protective equipment (PPE) at all times.</w:t>
      </w:r>
    </w:p>
    <w:p>
      <w:pPr>
        <w:numPr>
          <w:ilvl w:val="0"/>
          <w:numId w:val="1002"/>
        </w:numPr>
        <w:pStyle w:val="Compact"/>
      </w:pPr>
      <w:r>
        <w:t xml:space="preserve">Follow all safety signs and labels in the laboratory.</w:t>
      </w:r>
    </w:p>
    <w:p>
      <w:pPr>
        <w:numPr>
          <w:ilvl w:val="0"/>
          <w:numId w:val="1002"/>
        </w:numPr>
        <w:pStyle w:val="Compact"/>
      </w:pPr>
      <w:r>
        <w:t xml:space="preserve">Report any accidents, spills, or near-misses immediately.</w:t>
      </w:r>
    </w:p>
    <w:p>
      <w:pPr>
        <w:numPr>
          <w:ilvl w:val="0"/>
          <w:numId w:val="1002"/>
        </w:numPr>
        <w:pStyle w:val="Compact"/>
      </w:pPr>
      <w:r>
        <w:t xml:space="preserve">Ensure all equipment is properly maintained and calibrated.</w:t>
      </w:r>
    </w:p>
    <w:p>
      <w:pPr>
        <w:numPr>
          <w:ilvl w:val="0"/>
          <w:numId w:val="1002"/>
        </w:numPr>
        <w:pStyle w:val="Compact"/>
      </w:pPr>
      <w:r>
        <w:t xml:space="preserve">Conduct regular safety drills and training sessions.</w:t>
      </w:r>
    </w:p>
    <w:p>
      <w:pPr>
        <w:pStyle w:val="FirstParagraph"/>
      </w:pPr>
      <w:r>
        <w:t xml:space="preserve">6. Experimental Design</w:t>
      </w:r>
    </w:p>
    <w:p>
      <w:pPr>
        <w:pStyle w:val="BodyText"/>
      </w:pPr>
      <w:r>
        <w:t xml:space="preserve">The experimental design should include:</w:t>
      </w:r>
    </w:p>
    <w:p>
      <w:pPr>
        <w:numPr>
          <w:ilvl w:val="0"/>
          <w:numId w:val="1003"/>
        </w:numPr>
        <w:pStyle w:val="Compact"/>
      </w:pPr>
      <w:r>
        <w:t xml:space="preserve">A clear hypothesis or objective.</w:t>
      </w:r>
    </w:p>
    <w:p>
      <w:pPr>
        <w:numPr>
          <w:ilvl w:val="0"/>
          <w:numId w:val="1003"/>
        </w:numPr>
        <w:pStyle w:val="Compact"/>
      </w:pPr>
      <w:r>
        <w:t xml:space="preserve">A detailed methodology, including materials and procedures.</w:t>
      </w:r>
    </w:p>
    <w:p>
      <w:pPr>
        <w:numPr>
          <w:ilvl w:val="0"/>
          <w:numId w:val="1003"/>
        </w:numPr>
        <w:pStyle w:val="Compact"/>
      </w:pPr>
      <w:r>
        <w:t xml:space="preserve">A risk assessment and mitigation plan.</w:t>
      </w:r>
    </w:p>
    <w:p>
      <w:pPr>
        <w:numPr>
          <w:ilvl w:val="0"/>
          <w:numId w:val="1003"/>
        </w:numPr>
        <w:pStyle w:val="Compact"/>
      </w:pPr>
      <w:r>
        <w:t xml:space="preserve">A data collection and analysis plan.</w:t>
      </w:r>
    </w:p>
    <w:p>
      <w:pPr>
        <w:pStyle w:val="FirstParagraph"/>
      </w:pPr>
      <w:r>
        <w:t xml:space="preserve">7. Materials and Equipment</w:t>
      </w:r>
    </w:p>
    <w:p>
      <w:pPr>
        <w:pStyle w:val="BodyText"/>
      </w:pPr>
      <w:r>
        <w:t xml:space="preserve">All materials and equipment must be:</w:t>
      </w:r>
    </w:p>
    <w:p>
      <w:pPr>
        <w:numPr>
          <w:ilvl w:val="0"/>
          <w:numId w:val="1004"/>
        </w:numPr>
        <w:pStyle w:val="Compact"/>
      </w:pPr>
      <w:r>
        <w:t xml:space="preserve">Approved for use in Qatar Doha.</w:t>
      </w:r>
    </w:p>
    <w:p>
      <w:pPr>
        <w:numPr>
          <w:ilvl w:val="0"/>
          <w:numId w:val="1004"/>
        </w:numPr>
        <w:pStyle w:val="Compact"/>
      </w:pPr>
      <w:r>
        <w:t xml:space="preserve">Properly labeled and stored.</w:t>
      </w:r>
    </w:p>
    <w:p>
      <w:pPr>
        <w:numPr>
          <w:ilvl w:val="0"/>
          <w:numId w:val="1004"/>
        </w:numPr>
        <w:pStyle w:val="Compact"/>
      </w:pPr>
      <w:r>
        <w:t xml:space="preserve">Regularly inspected and maintained.</w:t>
      </w:r>
    </w:p>
    <w:p>
      <w:pPr>
        <w:pStyle w:val="FirstParagraph"/>
      </w:pPr>
      <w:r>
        <w:t xml:space="preserve">8. Procedure</w:t>
      </w:r>
    </w:p>
    <w:p>
      <w:pPr>
        <w:pStyle w:val="BodyText"/>
      </w:pPr>
      <w:r>
        <w:t xml:space="preserve">The procedure for conducting experiments should include:</w:t>
      </w:r>
    </w:p>
    <w:p>
      <w:pPr>
        <w:numPr>
          <w:ilvl w:val="0"/>
          <w:numId w:val="1005"/>
        </w:numPr>
        <w:pStyle w:val="Compact"/>
      </w:pPr>
      <w:r>
        <w:t xml:space="preserve">Preparation of materials and equipment.</w:t>
      </w:r>
    </w:p>
    <w:p>
      <w:pPr>
        <w:numPr>
          <w:ilvl w:val="0"/>
          <w:numId w:val="1005"/>
        </w:numPr>
        <w:pStyle w:val="Compact"/>
      </w:pPr>
      <w:r>
        <w:t xml:space="preserve">Calibration of instruments.</w:t>
      </w:r>
    </w:p>
    <w:p>
      <w:pPr>
        <w:numPr>
          <w:ilvl w:val="0"/>
          <w:numId w:val="1005"/>
        </w:numPr>
        <w:pStyle w:val="Compact"/>
      </w:pPr>
      <w:r>
        <w:t xml:space="preserve">Execution of the experiment according to the protocol.</w:t>
      </w:r>
    </w:p>
    <w:p>
      <w:pPr>
        <w:numPr>
          <w:ilvl w:val="0"/>
          <w:numId w:val="1005"/>
        </w:numPr>
        <w:pStyle w:val="Compact"/>
      </w:pPr>
      <w:r>
        <w:t xml:space="preserve">Collection and recording of data.</w:t>
      </w:r>
    </w:p>
    <w:p>
      <w:pPr>
        <w:numPr>
          <w:ilvl w:val="0"/>
          <w:numId w:val="1005"/>
        </w:numPr>
        <w:pStyle w:val="Compact"/>
      </w:pPr>
      <w:r>
        <w:t xml:space="preserve">Cleanup and disposal of materials.</w:t>
      </w:r>
    </w:p>
    <w:p>
      <w:pPr>
        <w:pStyle w:val="FirstParagraph"/>
      </w:pPr>
      <w:r>
        <w:t xml:space="preserve">9. Data Collection and Analysis</w:t>
      </w:r>
    </w:p>
    <w:p>
      <w:pPr>
        <w:pStyle w:val="BodyText"/>
      </w:pPr>
      <w:r>
        <w:t xml:space="preserve">Data should be:</w:t>
      </w:r>
    </w:p>
    <w:p>
      <w:pPr>
        <w:numPr>
          <w:ilvl w:val="0"/>
          <w:numId w:val="1006"/>
        </w:numPr>
        <w:pStyle w:val="Compact"/>
      </w:pPr>
      <w:r>
        <w:t xml:space="preserve">Accurately recorded in a laboratory notebook or electronic system.</w:t>
      </w:r>
    </w:p>
    <w:p>
      <w:pPr>
        <w:numPr>
          <w:ilvl w:val="0"/>
          <w:numId w:val="1006"/>
        </w:numPr>
        <w:pStyle w:val="Compact"/>
      </w:pPr>
      <w:r>
        <w:t xml:space="preserve">Analyzed using appropriate statistical methods.</w:t>
      </w:r>
    </w:p>
    <w:p>
      <w:pPr>
        <w:numPr>
          <w:ilvl w:val="0"/>
          <w:numId w:val="1006"/>
        </w:numPr>
        <w:pStyle w:val="Compact"/>
      </w:pPr>
      <w:r>
        <w:t xml:space="preserve">Reviewed for consistency and reliability.</w:t>
      </w:r>
    </w:p>
    <w:p>
      <w:pPr>
        <w:pStyle w:val="FirstParagraph"/>
      </w:pPr>
      <w:r>
        <w:t xml:space="preserve">10. Documentation and Reporting</w:t>
      </w:r>
    </w:p>
    <w:p>
      <w:pPr>
        <w:pStyle w:val="BodyText"/>
      </w:pPr>
      <w:r>
        <w:t xml:space="preserve">All experiments must be documented and reported according to the following guidelines:</w:t>
      </w:r>
    </w:p>
    <w:p>
      <w:pPr>
        <w:numPr>
          <w:ilvl w:val="0"/>
          <w:numId w:val="1007"/>
        </w:numPr>
        <w:pStyle w:val="Compact"/>
      </w:pPr>
      <w:r>
        <w:t xml:space="preserve">Include all relevant data, observations, and conclusions.</w:t>
      </w:r>
    </w:p>
    <w:p>
      <w:pPr>
        <w:numPr>
          <w:ilvl w:val="0"/>
          <w:numId w:val="1007"/>
        </w:numPr>
        <w:pStyle w:val="Compact"/>
      </w:pPr>
      <w:r>
        <w:t xml:space="preserve">Follow the format specified by the organization.</w:t>
      </w:r>
    </w:p>
    <w:p>
      <w:pPr>
        <w:numPr>
          <w:ilvl w:val="0"/>
          <w:numId w:val="1007"/>
        </w:numPr>
        <w:pStyle w:val="Compact"/>
      </w:pPr>
      <w:r>
        <w:t xml:space="preserve">Submit reports within the designated timeframe.</w:t>
      </w:r>
    </w:p>
    <w:p>
      <w:pPr>
        <w:pStyle w:val="FirstParagraph"/>
      </w:pPr>
      <w:r>
        <w:t xml:space="preserve">11. Compliance and Regulations</w:t>
      </w:r>
    </w:p>
    <w:p>
      <w:pPr>
        <w:pStyle w:val="BodyText"/>
      </w:pPr>
      <w:r>
        <w:t xml:space="preserve">All experiments must comply with:</w:t>
      </w:r>
    </w:p>
    <w:p>
      <w:pPr>
        <w:numPr>
          <w:ilvl w:val="0"/>
          <w:numId w:val="1008"/>
        </w:numPr>
        <w:pStyle w:val="Compact"/>
      </w:pPr>
      <w:r>
        <w:t xml:space="preserve">Local regulations in Qatar Doha.</w:t>
      </w:r>
    </w:p>
    <w:p>
      <w:pPr>
        <w:numPr>
          <w:ilvl w:val="0"/>
          <w:numId w:val="1008"/>
        </w:numPr>
        <w:pStyle w:val="Compact"/>
      </w:pPr>
      <w:r>
        <w:t xml:space="preserve">International standards and best practices.</w:t>
      </w:r>
    </w:p>
    <w:p>
      <w:pPr>
        <w:numPr>
          <w:ilvl w:val="0"/>
          <w:numId w:val="1008"/>
        </w:numPr>
        <w:pStyle w:val="Compact"/>
      </w:pPr>
      <w:r>
        <w:t xml:space="preserve">Organizational policies and procedures.</w:t>
      </w:r>
    </w:p>
    <w:p>
      <w:pPr>
        <w:pStyle w:val="FirstParagraph"/>
      </w:pPr>
      <w:r>
        <w:t xml:space="preserve">12. Training and Competency</w:t>
      </w:r>
    </w:p>
    <w:p>
      <w:pPr>
        <w:pStyle w:val="BodyText"/>
      </w:pPr>
      <w:r>
        <w:t xml:space="preserve">All personnel must:</w:t>
      </w:r>
    </w:p>
    <w:p>
      <w:pPr>
        <w:numPr>
          <w:ilvl w:val="0"/>
          <w:numId w:val="1009"/>
        </w:numPr>
        <w:pStyle w:val="Compact"/>
      </w:pPr>
      <w:r>
        <w:t xml:space="preserve">Complete required training before conducting experiments.</w:t>
      </w:r>
    </w:p>
    <w:p>
      <w:pPr>
        <w:numPr>
          <w:ilvl w:val="0"/>
          <w:numId w:val="1009"/>
        </w:numPr>
        <w:pStyle w:val="Compact"/>
      </w:pPr>
      <w:r>
        <w:t xml:space="preserve">Demonstrate competency in relevant skills and knowledge.</w:t>
      </w:r>
    </w:p>
    <w:p>
      <w:pPr>
        <w:numPr>
          <w:ilvl w:val="0"/>
          <w:numId w:val="1009"/>
        </w:numPr>
        <w:pStyle w:val="Compact"/>
      </w:pPr>
      <w:r>
        <w:t xml:space="preserve">Participate in ongoing professional development.</w:t>
      </w:r>
    </w:p>
    <w:p>
      <w:pPr>
        <w:pStyle w:val="FirstParagraph"/>
      </w:pPr>
      <w:r>
        <w:t xml:space="preserve">13. Emergency Procedures</w:t>
      </w:r>
    </w:p>
    <w:p>
      <w:pPr>
        <w:pStyle w:val="BodyText"/>
      </w:pPr>
      <w:r>
        <w:t xml:space="preserve">In the event of an emergency:</w:t>
      </w:r>
    </w:p>
    <w:p>
      <w:pPr>
        <w:numPr>
          <w:ilvl w:val="0"/>
          <w:numId w:val="1010"/>
        </w:numPr>
        <w:pStyle w:val="Compact"/>
      </w:pPr>
      <w:r>
        <w:t xml:space="preserve">Follow the established emergency response plan.</w:t>
      </w:r>
    </w:p>
    <w:p>
      <w:pPr>
        <w:numPr>
          <w:ilvl w:val="0"/>
          <w:numId w:val="1010"/>
        </w:numPr>
        <w:pStyle w:val="Compact"/>
      </w:pPr>
      <w:r>
        <w:t xml:space="preserve">Evacuate the area if necessary.</w:t>
      </w:r>
    </w:p>
    <w:p>
      <w:pPr>
        <w:numPr>
          <w:ilvl w:val="0"/>
          <w:numId w:val="1010"/>
        </w:numPr>
        <w:pStyle w:val="Compact"/>
      </w:pPr>
      <w:r>
        <w:t xml:space="preserve">Contact emergency services and report the incident.</w:t>
      </w:r>
    </w:p>
    <w:p>
      <w:pPr>
        <w:pStyle w:val="FirstParagraph"/>
      </w:pPr>
      <w:r>
        <w:t xml:space="preserve">14. Review and Revision</w:t>
      </w:r>
    </w:p>
    <w:p>
      <w:pPr>
        <w:pStyle w:val="BodyText"/>
      </w:pPr>
      <w:r>
        <w:t xml:space="preserve">This protocol will be reviewed and revised as necessary to ensure it remains current and effective. Any changes must be approved by the relevant authorities.</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Qatar Doha</dc:title>
  <dc:creator/>
  <dc:language>en</dc:language>
  <cp:keywords/>
  <dcterms:created xsi:type="dcterms:W3CDTF">2026-10-10T03:56:11Z</dcterms:created>
  <dcterms:modified xsi:type="dcterms:W3CDTF">2026-10-10T03:56:11Z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