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Engineering</w:t>
      </w:r>
      <w:r>
        <w:t xml:space="preserve"> </w:t>
      </w:r>
      <w:r>
        <w:t xml:space="preserve">Research</w:t>
      </w:r>
      <w:r>
        <w:t xml:space="preserve"> </w:t>
      </w:r>
      <w:r>
        <w:t xml:space="preserve">in</w:t>
      </w:r>
      <w:r>
        <w:t xml:space="preserve"> </w:t>
      </w:r>
      <w:r>
        <w:t xml:space="preserve">Moscow,</w:t>
      </w:r>
      <w:r>
        <w:t xml:space="preserve"> </w:t>
      </w:r>
      <w:r>
        <w:t xml:space="preserve">Russia</w:t>
      </w:r>
    </w:p>
    <w:bookmarkStart w:id="33" w:name="Xfe0ca726b9fdcae4272d3c3006a7a7e0970c020"/>
    <w:p>
      <w:pPr>
        <w:pStyle w:val="Heading1"/>
      </w:pPr>
      <w:r>
        <w:t xml:space="preserve">Experiment Protocol: Advanced Catalytic Synthesis</w:t>
      </w:r>
    </w:p>
    <w:p>
      <w:pPr>
        <w:pStyle w:val="FirstParagraph"/>
      </w:pPr>
      <w:r>
        <w:rPr>
          <w:bCs/>
          <w:b/>
        </w:rPr>
        <w:t xml:space="preserve">Document ID:</w:t>
      </w:r>
      <w:r>
        <w:t xml:space="preserve"> </w:t>
      </w:r>
      <w:r>
        <w:t xml:space="preserve">RU-MOW-CE-2023-045</w:t>
      </w:r>
      <w:r>
        <w:br/>
      </w:r>
      <w:r>
        <w:rPr>
          <w:bCs/>
          <w:b/>
        </w:rPr>
        <w:t xml:space="preserve">Version:</w:t>
      </w:r>
      <w:r>
        <w:t xml:space="preserve"> </w:t>
      </w:r>
      <w:r>
        <w:t xml:space="preserve">1.0</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Moscow, Russia</w:t>
      </w:r>
      <w:r>
        <w:br/>
      </w:r>
      <w:r>
        <w:rPr>
          <w:bCs/>
          <w:b/>
        </w:rPr>
        <w:t xml:space="preserve">Facility:</w:t>
      </w:r>
      <w:r>
        <w:t xml:space="preserve"> </w:t>
      </w:r>
      <w:r>
        <w:t xml:space="preserve">Central Research Institute of Chemical Technology</w:t>
      </w:r>
      <w:r>
        <w:br/>
      </w:r>
      <w:r>
        <w:rPr>
          <w:bCs/>
          <w:b/>
        </w:rPr>
        <w:t xml:space="preserve">Department:</w:t>
      </w:r>
      <w:r>
        <w:t xml:space="preserve"> </w:t>
      </w:r>
      <w:r>
        <w:t xml:space="preserve">Advanced Materials &amp; Process Engineering</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the synthesis and characterization of novel heterogeneous catalysts intended for industrial-scale petrochemical processing. This research is conducted by a team of Chemical Engineers operating within the regulatory and scientific framework of Russia, specifically at the research facility located in Moscow. The primary objective is to optimize the yield of high-octane hydrocarbons using zeolite-based catalysts under controlled high-pressure conditions.</w:t>
      </w:r>
    </w:p>
    <w:p>
      <w:pPr>
        <w:pStyle w:val="BodyText"/>
      </w:pPr>
      <w:r>
        <w:t xml:space="preserve">Given the strategic importance of the chemical industry in Russia, this protocol adheres strictly to the national standards (GOST) and international safety guidelines. The work performed by the Chemical Engineer in this Moscow-based facility aims to bridge the gap between theoretical catalysis and practical industrial application, ensuring that the resulting processes are efficient, safe, and economically viable for deployment in Russian refineries.</w:t>
      </w:r>
    </w:p>
    <w:bookmarkEnd w:id="20"/>
    <w:bookmarkStart w:id="21" w:name="scope-and-applicability"/>
    <w:p>
      <w:pPr>
        <w:pStyle w:val="Heading2"/>
      </w:pPr>
      <w:r>
        <w:t xml:space="preserve">2. Scope and Applicability</w:t>
      </w:r>
    </w:p>
    <w:p>
      <w:pPr>
        <w:pStyle w:val="FirstParagraph"/>
      </w:pPr>
      <w:r>
        <w:t xml:space="preserve">This protocol applies to all personnel involved in the experimental phase of the project, including lead Chemical Engineers, laboratory technicians, and safety officers. It covers the preparation of reactants, the operation of the fixed-bed reactor, data acquisition, and the disposal of chemical waste. The procedures described herein are specific to the laboratory environment in Moscow and must be followed without deviation to ensure data integrity and personnel safety.</w:t>
      </w:r>
    </w:p>
    <w:bookmarkEnd w:id="21"/>
    <w:bookmarkStart w:id="22" w:name="regulatory-compliance-and-standards"/>
    <w:p>
      <w:pPr>
        <w:pStyle w:val="Heading2"/>
      </w:pPr>
      <w:r>
        <w:t xml:space="preserve">3. Regulatory Compliance and Standards</w:t>
      </w:r>
    </w:p>
    <w:p>
      <w:pPr>
        <w:pStyle w:val="FirstParagraph"/>
      </w:pPr>
      <w:r>
        <w:t xml:space="preserve">As this experiment is conducted in Russia, all activities must comply with the Federal Law "On Industrial Safety of Hazardous Production Facilities." The Chemical Engineer is responsible for ensuring that all experimental setups meet the requirements set forth by Rostekhnadzor (the Federal Service for Ecological, Technological and Nuclear Supervision).</w:t>
      </w:r>
    </w:p>
    <w:p>
      <w:pPr>
        <w:pStyle w:val="BodyText"/>
      </w:pPr>
      <w:r>
        <w:t xml:space="preserve">Furthermore, the protocol aligns with GOST R standards for chemical analysis and laboratory safety. Specific attention is paid to the handling of hazardous substances, ensuring that the Moscow facility maintains its certification for handling Class 1 and Class 2 hazardous materials.</w:t>
      </w:r>
    </w:p>
    <w:bookmarkEnd w:id="22"/>
    <w:bookmarkStart w:id="25" w:name="materials-and-equipment"/>
    <w:p>
      <w:pPr>
        <w:pStyle w:val="Heading2"/>
      </w:pPr>
      <w:r>
        <w:t xml:space="preserve">4. Materials and Equipment</w:t>
      </w:r>
    </w:p>
    <w:bookmarkStart w:id="23" w:name="chemicals"/>
    <w:p>
      <w:pPr>
        <w:pStyle w:val="Heading3"/>
      </w:pPr>
      <w:r>
        <w:t xml:space="preserve">4.1 Chemicals</w:t>
      </w:r>
    </w:p>
    <w:p>
      <w:pPr>
        <w:numPr>
          <w:ilvl w:val="0"/>
          <w:numId w:val="1001"/>
        </w:numPr>
        <w:pStyle w:val="Compact"/>
      </w:pPr>
      <w:r>
        <w:t xml:space="preserve">High-purity n-hexane (99.9%) sourced from local Russian suppliers.</w:t>
      </w:r>
    </w:p>
    <w:p>
      <w:pPr>
        <w:numPr>
          <w:ilvl w:val="0"/>
          <w:numId w:val="1001"/>
        </w:numPr>
        <w:pStyle w:val="Compact"/>
      </w:pPr>
      <w:r>
        <w:t xml:space="preserve">Zeolite Y catalyst precursor.</w:t>
      </w:r>
    </w:p>
    <w:p>
      <w:pPr>
        <w:numPr>
          <w:ilvl w:val="0"/>
          <w:numId w:val="1001"/>
        </w:numPr>
        <w:pStyle w:val="Compact"/>
      </w:pPr>
      <w:r>
        <w:t xml:space="preserve">Nitrogen gas (Grade 5.0) for purging and carrier gas.</w:t>
      </w:r>
    </w:p>
    <w:p>
      <w:pPr>
        <w:numPr>
          <w:ilvl w:val="0"/>
          <w:numId w:val="1001"/>
        </w:numPr>
        <w:pStyle w:val="Compact"/>
      </w:pPr>
      <w:r>
        <w:t xml:space="preserve">Solvents for catalyst preparation (Ethanol, Deionized Water).</w:t>
      </w:r>
    </w:p>
    <w:bookmarkEnd w:id="23"/>
    <w:bookmarkStart w:id="24" w:name="equipment"/>
    <w:p>
      <w:pPr>
        <w:pStyle w:val="Heading3"/>
      </w:pPr>
      <w:r>
        <w:t xml:space="preserve">4.2 Equipment</w:t>
      </w:r>
    </w:p>
    <w:p>
      <w:pPr>
        <w:numPr>
          <w:ilvl w:val="0"/>
          <w:numId w:val="1002"/>
        </w:numPr>
        <w:pStyle w:val="Compact"/>
      </w:pPr>
      <w:r>
        <w:t xml:space="preserve">Stainless steel fixed-bed micro-reactor (operating pressure up to 50 bar).</w:t>
      </w:r>
    </w:p>
    <w:p>
      <w:pPr>
        <w:numPr>
          <w:ilvl w:val="0"/>
          <w:numId w:val="1002"/>
        </w:numPr>
        <w:pStyle w:val="Compact"/>
      </w:pPr>
      <w:r>
        <w:t xml:space="preserve">Mass Flow Controllers (MFCs) calibrated according to Russian metrological standards.</w:t>
      </w:r>
    </w:p>
    <w:p>
      <w:pPr>
        <w:numPr>
          <w:ilvl w:val="0"/>
          <w:numId w:val="1002"/>
        </w:numPr>
        <w:pStyle w:val="Compact"/>
      </w:pPr>
      <w:r>
        <w:t xml:space="preserve">Gas Chromatograph (GC) equipped with FID and TCD detectors for product analysis.</w:t>
      </w:r>
    </w:p>
    <w:p>
      <w:pPr>
        <w:numPr>
          <w:ilvl w:val="0"/>
          <w:numId w:val="1002"/>
        </w:numPr>
        <w:pStyle w:val="Compact"/>
      </w:pPr>
      <w:r>
        <w:t xml:space="preserve">Thermocouples and pressure transducers linked to a central data acquisition system.</w:t>
      </w:r>
    </w:p>
    <w:bookmarkEnd w:id="24"/>
    <w:bookmarkEnd w:id="25"/>
    <w:bookmarkStart w:id="26" w:name="safety-procedures"/>
    <w:p>
      <w:pPr>
        <w:pStyle w:val="Heading2"/>
      </w:pPr>
      <w:r>
        <w:t xml:space="preserve">5. Safety Procedures</w:t>
      </w:r>
    </w:p>
    <w:p>
      <w:pPr>
        <w:pStyle w:val="FirstParagraph"/>
      </w:pPr>
      <w:r>
        <w:t xml:space="preserve">Safety is the paramount concern for the Chemical Engineer executing this protocol. The laboratory in Moscow is equipped with emergency showers, eyewash stations, and fire suppression systems suitable for chemical fires.</w:t>
      </w:r>
    </w:p>
    <w:p>
      <w:pPr>
        <w:pStyle w:val="BodyText"/>
      </w:pPr>
      <w:r>
        <w:rPr>
          <w:bCs/>
          <w:b/>
        </w:rPr>
        <w:t xml:space="preserve">Critical Safety Note:</w:t>
      </w:r>
      <w:r>
        <w:t xml:space="preserve"> </w:t>
      </w:r>
      <w:r>
        <w:t xml:space="preserve">All personnel must wear appropriate Personal Protective Equipment (PPE), including chemical-resistant gloves, safety goggles, and lab coats. Due to the high-pressure nature of the experiment, blast shields must be in place around the reactor setup.</w:t>
      </w:r>
    </w:p>
    <w:p>
      <w:pPr>
        <w:pStyle w:val="BodyText"/>
      </w:pPr>
      <w:r>
        <w:t xml:space="preserve">In the event of a leak or emergency, the Chemical Engineer must immediately initiate the emergency shutdown procedure (ESD) and evacuate the area following the facility's evacuation plan. All incidents must be reported to the Moscow facility safety officer and documented in the incident log as per Russian labor laws.</w:t>
      </w:r>
    </w:p>
    <w:bookmarkEnd w:id="26"/>
    <w:bookmarkStart w:id="30" w:name="experimental-procedure"/>
    <w:p>
      <w:pPr>
        <w:pStyle w:val="Heading2"/>
      </w:pPr>
      <w:r>
        <w:t xml:space="preserve">6. Experimental Procedure</w:t>
      </w:r>
    </w:p>
    <w:bookmarkStart w:id="27" w:name="catalyst-preparation"/>
    <w:p>
      <w:pPr>
        <w:pStyle w:val="Heading3"/>
      </w:pPr>
      <w:r>
        <w:t xml:space="preserve">6.1 Catalyst Preparation</w:t>
      </w:r>
    </w:p>
    <w:p>
      <w:pPr>
        <w:numPr>
          <w:ilvl w:val="0"/>
          <w:numId w:val="1003"/>
        </w:numPr>
        <w:pStyle w:val="Compact"/>
      </w:pPr>
      <w:r>
        <w:t xml:space="preserve">Prepare the zeolite precursor solution by dissolving the required salts in deionized water.</w:t>
      </w:r>
    </w:p>
    <w:p>
      <w:pPr>
        <w:numPr>
          <w:ilvl w:val="0"/>
          <w:numId w:val="1003"/>
        </w:numPr>
        <w:pStyle w:val="Compact"/>
      </w:pPr>
      <w:r>
        <w:t xml:space="preserve">Perform hydrothermal synthesis in an autoclave at 150°C for 24 hours.</w:t>
      </w:r>
    </w:p>
    <w:p>
      <w:pPr>
        <w:numPr>
          <w:ilvl w:val="0"/>
          <w:numId w:val="1003"/>
        </w:numPr>
        <w:pStyle w:val="Compact"/>
      </w:pPr>
      <w:r>
        <w:t xml:space="preserve">Filter, wash, and dry the resulting solid at 110°C overnight.</w:t>
      </w:r>
    </w:p>
    <w:p>
      <w:pPr>
        <w:numPr>
          <w:ilvl w:val="0"/>
          <w:numId w:val="1003"/>
        </w:numPr>
        <w:pStyle w:val="Compact"/>
      </w:pPr>
      <w:r>
        <w:t xml:space="preserve">Calcine the catalyst at 550°C for 6 hours to remove organic templates.</w:t>
      </w:r>
    </w:p>
    <w:bookmarkEnd w:id="27"/>
    <w:bookmarkStart w:id="28" w:name="reactor-setup"/>
    <w:p>
      <w:pPr>
        <w:pStyle w:val="Heading3"/>
      </w:pPr>
      <w:r>
        <w:t xml:space="preserve">6.2 Reactor Setup</w:t>
      </w:r>
    </w:p>
    <w:p>
      <w:pPr>
        <w:numPr>
          <w:ilvl w:val="0"/>
          <w:numId w:val="1004"/>
        </w:numPr>
        <w:pStyle w:val="Compact"/>
      </w:pPr>
      <w:r>
        <w:t xml:space="preserve">Load the prepared catalyst into the fixed-bed reactor tube.</w:t>
      </w:r>
    </w:p>
    <w:p>
      <w:pPr>
        <w:numPr>
          <w:ilvl w:val="0"/>
          <w:numId w:val="1004"/>
        </w:numPr>
        <w:pStyle w:val="Compact"/>
      </w:pPr>
      <w:r>
        <w:t xml:space="preserve">Seal the reactor and perform a leak test using nitrogen at 10 bar.</w:t>
      </w:r>
    </w:p>
    <w:p>
      <w:pPr>
        <w:numPr>
          <w:ilvl w:val="0"/>
          <w:numId w:val="1004"/>
        </w:numPr>
        <w:pStyle w:val="Compact"/>
      </w:pPr>
      <w:r>
        <w:t xml:space="preserve">Connect the reactor to the feed system and the gas chromatograph.</w:t>
      </w:r>
    </w:p>
    <w:bookmarkEnd w:id="28"/>
    <w:bookmarkStart w:id="29" w:name="reaction-execution"/>
    <w:p>
      <w:pPr>
        <w:pStyle w:val="Heading3"/>
      </w:pPr>
      <w:r>
        <w:t xml:space="preserve">6.3 Reaction Execution</w:t>
      </w:r>
    </w:p>
    <w:p>
      <w:pPr>
        <w:numPr>
          <w:ilvl w:val="0"/>
          <w:numId w:val="1005"/>
        </w:numPr>
        <w:pStyle w:val="Compact"/>
      </w:pPr>
      <w:r>
        <w:t xml:space="preserve">Purge the system with nitrogen for 30 minutes to remove air.</w:t>
      </w:r>
    </w:p>
    <w:p>
      <w:pPr>
        <w:numPr>
          <w:ilvl w:val="0"/>
          <w:numId w:val="1005"/>
        </w:numPr>
        <w:pStyle w:val="Compact"/>
      </w:pPr>
      <w:r>
        <w:t xml:space="preserve">Heat the reactor to the target temperature of 400°C at a ramp rate of 5°C/min.</w:t>
      </w:r>
    </w:p>
    <w:p>
      <w:pPr>
        <w:numPr>
          <w:ilvl w:val="0"/>
          <w:numId w:val="1005"/>
        </w:numPr>
        <w:pStyle w:val="Compact"/>
      </w:pPr>
      <w:r>
        <w:t xml:space="preserve">Introduce n-hexane feed at a controlled flow rate using the MFCs.</w:t>
      </w:r>
    </w:p>
    <w:p>
      <w:pPr>
        <w:numPr>
          <w:ilvl w:val="0"/>
          <w:numId w:val="1005"/>
        </w:numPr>
        <w:pStyle w:val="Compact"/>
      </w:pPr>
      <w:r>
        <w:t xml:space="preserve">Maintain the reaction pressure at 20 bar.</w:t>
      </w:r>
    </w:p>
    <w:p>
      <w:pPr>
        <w:numPr>
          <w:ilvl w:val="0"/>
          <w:numId w:val="1005"/>
        </w:numPr>
        <w:pStyle w:val="Compact"/>
      </w:pPr>
      <w:r>
        <w:t xml:space="preserve">Collect effluent samples every 15 minutes for GC analysis.</w:t>
      </w:r>
    </w:p>
    <w:bookmarkEnd w:id="29"/>
    <w:bookmarkEnd w:id="30"/>
    <w:bookmarkStart w:id="31" w:name="data-analysis-and-reporting"/>
    <w:p>
      <w:pPr>
        <w:pStyle w:val="Heading2"/>
      </w:pPr>
      <w:r>
        <w:t xml:space="preserve">7. Data Analysis and Reporting</w:t>
      </w:r>
    </w:p>
    <w:p>
      <w:pPr>
        <w:pStyle w:val="FirstParagraph"/>
      </w:pPr>
      <w:r>
        <w:t xml:space="preserve">The Chemical Engineer is responsible for analyzing the GC data to determine conversion rates, selectivity, and yield. All data must be recorded in the laboratory notebook and the digital database of the Moscow research center. The analysis should compare the performance of the new catalyst against existing industrial benchmarks used in Russia.</w:t>
      </w:r>
    </w:p>
    <w:p>
      <w:pPr>
        <w:pStyle w:val="BodyText"/>
      </w:pPr>
      <w:r>
        <w:t xml:space="preserve">Results will be compiled into a technical report, which will be reviewed by the department head. If the results are promising, a proposal for pilot-scale testing will be drafted, considering the specific infrastructure available in the Moscow region.</w:t>
      </w:r>
    </w:p>
    <w:bookmarkEnd w:id="31"/>
    <w:bookmarkStart w:id="32" w:name="waste-disposal"/>
    <w:p>
      <w:pPr>
        <w:pStyle w:val="Heading2"/>
      </w:pPr>
      <w:r>
        <w:t xml:space="preserve">8. Waste Disposal</w:t>
      </w:r>
    </w:p>
    <w:p>
      <w:pPr>
        <w:pStyle w:val="FirstParagraph"/>
      </w:pPr>
      <w:r>
        <w:t xml:space="preserve">All chemical waste generated during this experiment must be segregated and labeled according to Russian environmental regulations. Liquid waste will be collected in designated containers and disposed of by a licensed waste management company operating in Moscow. Solid catalyst waste will be stored for potential regeneration or safe disposal.</w:t>
      </w:r>
    </w:p>
    <w:p>
      <w:pPr>
        <w:pStyle w:val="BodyText"/>
      </w:pPr>
      <w:r>
        <w:rPr>
          <w:bCs/>
          <w:b/>
        </w:rPr>
        <w:t xml:space="preserve">Prepared by:</w:t>
      </w:r>
      <w:r>
        <w:br/>
      </w:r>
      <w:r>
        <w:t xml:space="preserve">[Name of Chemical Engineer]</w:t>
      </w:r>
      <w:r>
        <w:br/>
      </w:r>
      <w:r>
        <w:t xml:space="preserve">Senior Chemical Engineer</w:t>
      </w:r>
      <w:r>
        <w:br/>
      </w:r>
      <w:r>
        <w:t xml:space="preserve">Date: _______________</w:t>
      </w:r>
    </w:p>
    <w:p>
      <w:pPr>
        <w:pStyle w:val="BodyText"/>
      </w:pPr>
      <w:r>
        <w:rPr>
          <w:bCs/>
          <w:b/>
        </w:rPr>
        <w:t xml:space="preserve">Approved by:</w:t>
      </w:r>
      <w:r>
        <w:br/>
      </w:r>
      <w:r>
        <w:t xml:space="preserve">[Name of Department Head]</w:t>
      </w:r>
      <w:r>
        <w:br/>
      </w:r>
      <w:r>
        <w:t xml:space="preserve">Head of Research, Moscow Facility</w:t>
      </w:r>
      <w:r>
        <w:br/>
      </w:r>
      <w:r>
        <w:t xml:space="preserve">Date: _______________</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Engineering Research in Moscow, Russia</dc:title>
  <dc:creator/>
  <dc:language>en</dc:language>
  <cp:keywords/>
  <dcterms:created xsi:type="dcterms:W3CDTF">2026-10-10T02:34:39Z</dcterms:created>
  <dcterms:modified xsi:type="dcterms:W3CDTF">2026-10-10T02:34:39Z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