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Process</w:t>
      </w:r>
      <w:r>
        <w:t xml:space="preserve"> </w:t>
      </w:r>
      <w:r>
        <w:t xml:space="preserve">Optimization</w:t>
      </w:r>
      <w:r>
        <w:t xml:space="preserve"> </w:t>
      </w:r>
      <w:r>
        <w:t xml:space="preserve">in</w:t>
      </w:r>
      <w:r>
        <w:t xml:space="preserve"> </w:t>
      </w:r>
      <w:r>
        <w:t xml:space="preserve">Riyadh</w:t>
      </w:r>
    </w:p>
    <w:bookmarkStart w:id="20" w:name="X7f57941a839fc8bf889c237773c3a2acdd5ebc4"/>
    <w:p>
      <w:pPr>
        <w:pStyle w:val="Heading1"/>
      </w:pPr>
      <w:r>
        <w:t xml:space="preserve">Experiment Protocol: Advanced Catalytic Cracking Optimization</w:t>
      </w:r>
    </w:p>
    <w:p>
      <w:pPr>
        <w:pStyle w:val="FirstParagraph"/>
      </w:pPr>
      <w:r>
        <w:rPr>
          <w:bCs/>
          <w:b/>
        </w:rPr>
        <w:t xml:space="preserve">Location:</w:t>
      </w:r>
      <w:r>
        <w:t xml:space="preserve"> </w:t>
      </w:r>
      <w:r>
        <w:t xml:space="preserve">Industrial Research Facility, Riyadh, Saudi Arabia</w:t>
      </w:r>
    </w:p>
    <w:p>
      <w:pPr>
        <w:pStyle w:val="BodyText"/>
      </w:pPr>
      <w:r>
        <w:rPr>
          <w:bCs/>
          <w:b/>
        </w:rPr>
        <w:t xml:space="preserve">Prepared By:</w:t>
      </w:r>
      <w:r>
        <w:t xml:space="preserve"> </w:t>
      </w:r>
      <w:r>
        <w:t xml:space="preserve">Senior Chemical Engineer</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SA-RYD-CE-2023-004</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evaluating the efficiency of novel zeolite catalysts in the fluid catalytic cracking (FCC) process. As a Chemical Engineer operating within the dynamic industrial landscape of Saudi Arabia Riyadh, the primary objective is to enhance the yield of high-value light olefins while minimizing coke formation. This research aligns with the broader goals of Saudi Vision 2030, which emphasizes the diversification of the petrochemical sector and the advancement of sustainable industrial practices.</w:t>
      </w:r>
    </w:p>
    <w:p>
      <w:pPr>
        <w:pStyle w:val="BodyText"/>
      </w:pPr>
      <w:r>
        <w:t xml:space="preserve">The specific aim of this experiment is to determine the optimal temperature and space velocity parameters for a new catalyst formulation under conditions that simulate the ambient and operational realities of the Riyadh region. By rigorously controlling variables, we seek to generate reproducible data that will inform scale-up decisions for future commercial applications.</w:t>
      </w:r>
    </w:p>
    <w:bookmarkEnd w:id="21"/>
    <w:bookmarkStart w:id="22" w:name="scope-and-applicability"/>
    <w:p>
      <w:pPr>
        <w:pStyle w:val="Heading2"/>
      </w:pPr>
      <w:r>
        <w:t xml:space="preserve">2. Scope and Applicability</w:t>
      </w:r>
    </w:p>
    <w:p>
      <w:pPr>
        <w:pStyle w:val="FirstParagraph"/>
      </w:pPr>
      <w:r>
        <w:t xml:space="preserve">This protocol is strictly applicable to the pilot-scale reactor unit located at the Riyadh research center. It is designed for use by qualified Chemical Engineers and laboratory technicians who have undergone specific training in high-pressure reactor operations and hazardous material handling. The procedures detailed herein must be followed without deviation to ensure data integrity and personnel safety. Any modifications to the protocol must be approved by the Lead Chemical Engineer and documented in the change control log.</w:t>
      </w:r>
    </w:p>
    <w:bookmarkEnd w:id="22"/>
    <w:bookmarkStart w:id="23" w:name="safety-and-regulatory-compliance"/>
    <w:p>
      <w:pPr>
        <w:pStyle w:val="Heading2"/>
      </w:pPr>
      <w:r>
        <w:t xml:space="preserve">3. Safety and Regulatory Compliance</w:t>
      </w:r>
    </w:p>
    <w:p>
      <w:pPr>
        <w:pStyle w:val="FirstParagraph"/>
      </w:pPr>
      <w:r>
        <w:t xml:space="preserve">Safety is the paramount concern in this experiment. All personnel must adhere to the Occupational Health and Safety regulations mandated by the Saudi Arabian government and the specific safety standards of the facility in Riyadh. Given the high temperatures and flammable hydrocarbons involved, the following measures are mandatory:</w:t>
      </w:r>
    </w:p>
    <w:p>
      <w:pPr>
        <w:numPr>
          <w:ilvl w:val="0"/>
          <w:numId w:val="1001"/>
        </w:numPr>
        <w:pStyle w:val="Compact"/>
      </w:pPr>
      <w:r>
        <w:rPr>
          <w:bCs/>
          <w:b/>
        </w:rPr>
        <w:t xml:space="preserve">Personal Protective Equipment (PPE):</w:t>
      </w:r>
      <w:r>
        <w:t xml:space="preserve"> </w:t>
      </w:r>
      <w:r>
        <w:t xml:space="preserve">Flame-resistant coveralls, safety goggles, face shields, and heat-resistant gloves must be worn at all times within the reactor zone.</w:t>
      </w:r>
    </w:p>
    <w:p>
      <w:pPr>
        <w:numPr>
          <w:ilvl w:val="0"/>
          <w:numId w:val="1001"/>
        </w:numPr>
        <w:pStyle w:val="Compact"/>
      </w:pPr>
      <w:r>
        <w:rPr>
          <w:bCs/>
          <w:b/>
        </w:rPr>
        <w:t xml:space="preserve">Environmental Controls:</w:t>
      </w:r>
      <w:r>
        <w:t xml:space="preserve"> </w:t>
      </w:r>
      <w:r>
        <w:t xml:space="preserve">The laboratory must maintain adequate ventilation to prevent the accumulation of volatile organic compounds (VOCs). Gas detectors for hydrogen sulfide and carbon monoxide must be calibrated and operational.</w:t>
      </w:r>
    </w:p>
    <w:p>
      <w:pPr>
        <w:numPr>
          <w:ilvl w:val="0"/>
          <w:numId w:val="1001"/>
        </w:numPr>
        <w:pStyle w:val="Compact"/>
      </w:pPr>
      <w:r>
        <w:rPr>
          <w:bCs/>
          <w:b/>
        </w:rPr>
        <w:t xml:space="preserve">Emergency Procedures:</w:t>
      </w:r>
      <w:r>
        <w:t xml:space="preserve"> </w:t>
      </w:r>
      <w:r>
        <w:t xml:space="preserve">In the event of a leak or fire, the emergency shutdown (ESD) system must be activated immediately. Personnel should evacuate to the designated assembly point outside the facility, following the evacuation routes posted throughout the Riyadh site.</w:t>
      </w:r>
    </w:p>
    <w:p>
      <w:pPr>
        <w:pStyle w:val="FirstParagraph"/>
      </w:pPr>
      <w:r>
        <w:rPr>
          <w:bCs/>
          <w:b/>
        </w:rPr>
        <w:t xml:space="preserve">Note:</w:t>
      </w:r>
      <w:r>
        <w:t xml:space="preserve"> </w:t>
      </w:r>
      <w:r>
        <w:t xml:space="preserve">All waste materials generated during this experiment must be disposed of in accordance with the Saudi Environmental Protection Agency (EPA) guidelines to prevent contamination of the local ecosystem.</w:t>
      </w:r>
    </w:p>
    <w:bookmarkEnd w:id="23"/>
    <w:bookmarkStart w:id="24" w:name="materials-and-equipment"/>
    <w:p>
      <w:pPr>
        <w:pStyle w:val="Heading2"/>
      </w:pPr>
      <w:r>
        <w:t xml:space="preserve">4. Materials and Equipment</w:t>
      </w:r>
    </w:p>
    <w:p>
      <w:pPr>
        <w:pStyle w:val="FirstParagraph"/>
      </w:pPr>
      <w:r>
        <w:t xml:space="preserve">The following materials and equipment are required to conduct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Pilot-Scale FCC Reactor</w:t>
            </w:r>
          </w:p>
        </w:tc>
        <w:tc>
          <w:tcPr/>
          <w:p>
            <w:pPr>
              <w:pStyle w:val="Compact"/>
              <w:jc w:val="left"/>
            </w:pPr>
            <w:r>
              <w:t xml:space="preserve">Stainless Steel, 50L capacity</w:t>
            </w:r>
          </w:p>
        </w:tc>
        <w:tc>
          <w:tcPr/>
          <w:p>
            <w:pPr>
              <w:pStyle w:val="Compact"/>
              <w:jc w:val="left"/>
            </w:pPr>
            <w:r>
              <w:t xml:space="preserve">1</w:t>
            </w:r>
          </w:p>
        </w:tc>
      </w:tr>
      <w:tr>
        <w:tc>
          <w:tcPr/>
          <w:p>
            <w:pPr>
              <w:pStyle w:val="Compact"/>
              <w:jc w:val="left"/>
            </w:pPr>
            <w:r>
              <w:t xml:space="preserve">Novel Zeolite Catalyst</w:t>
            </w:r>
          </w:p>
        </w:tc>
        <w:tc>
          <w:tcPr/>
          <w:p>
            <w:pPr>
              <w:pStyle w:val="Compact"/>
              <w:jc w:val="left"/>
            </w:pPr>
            <w:r>
              <w:t xml:space="preserve">Batch #Z-2023-RYD</w:t>
            </w:r>
          </w:p>
        </w:tc>
        <w:tc>
          <w:tcPr/>
          <w:p>
            <w:pPr>
              <w:pStyle w:val="Compact"/>
              <w:jc w:val="left"/>
            </w:pPr>
            <w:r>
              <w:t xml:space="preserve">5 kg</w:t>
            </w:r>
          </w:p>
        </w:tc>
      </w:tr>
      <w:tr>
        <w:tc>
          <w:tcPr/>
          <w:p>
            <w:pPr>
              <w:pStyle w:val="Compact"/>
              <w:jc w:val="left"/>
            </w:pPr>
            <w:r>
              <w:t xml:space="preserve">Feedstock</w:t>
            </w:r>
          </w:p>
        </w:tc>
        <w:tc>
          <w:tcPr/>
          <w:p>
            <w:pPr>
              <w:pStyle w:val="Compact"/>
              <w:jc w:val="left"/>
            </w:pPr>
            <w:r>
              <w:t xml:space="preserve">Vacuum Gas Oil (VGO), Saudi Aramco Standard</w:t>
            </w:r>
          </w:p>
        </w:tc>
        <w:tc>
          <w:tcPr/>
          <w:p>
            <w:pPr>
              <w:pStyle w:val="Compact"/>
              <w:jc w:val="left"/>
            </w:pPr>
            <w:r>
              <w:t xml:space="preserve">100 L</w:t>
            </w:r>
          </w:p>
        </w:tc>
      </w:tr>
      <w:tr>
        <w:tc>
          <w:tcPr/>
          <w:p>
            <w:pPr>
              <w:pStyle w:val="Compact"/>
              <w:jc w:val="left"/>
            </w:pPr>
            <w:r>
              <w:t xml:space="preserve">Gas Chromatograph</w:t>
            </w:r>
          </w:p>
        </w:tc>
        <w:tc>
          <w:tcPr/>
          <w:p>
            <w:pPr>
              <w:pStyle w:val="Compact"/>
              <w:jc w:val="left"/>
            </w:pPr>
            <w:r>
              <w:t xml:space="preserve">For product analysis</w:t>
            </w:r>
          </w:p>
        </w:tc>
        <w:tc>
          <w:tcPr/>
          <w:p>
            <w:pPr>
              <w:pStyle w:val="Compact"/>
              <w:jc w:val="left"/>
            </w:pPr>
            <w:r>
              <w:t xml:space="preserve">1</w:t>
            </w:r>
          </w:p>
        </w:tc>
      </w:tr>
      <w:tr>
        <w:tc>
          <w:tcPr/>
          <w:p>
            <w:pPr>
              <w:pStyle w:val="Compact"/>
              <w:jc w:val="left"/>
            </w:pPr>
            <w:r>
              <w:t xml:space="preserve">Temperature Controllers</w:t>
            </w:r>
          </w:p>
        </w:tc>
        <w:tc>
          <w:tcPr/>
          <w:p>
            <w:pPr>
              <w:pStyle w:val="Compact"/>
              <w:jc w:val="left"/>
            </w:pPr>
            <w:r>
              <w:t xml:space="preserve">PID controlled, ±1°C accuracy</w:t>
            </w:r>
          </w:p>
        </w:tc>
        <w:tc>
          <w:tcPr/>
          <w:p>
            <w:pPr>
              <w:pStyle w:val="Compact"/>
              <w:jc w:val="left"/>
            </w:pPr>
            <w:r>
              <w:t xml:space="preserve">4</w:t>
            </w:r>
          </w:p>
        </w:tc>
      </w:tr>
    </w:tbl>
    <w:bookmarkEnd w:id="24"/>
    <w:bookmarkStart w:id="28" w:name="experimental-procedure"/>
    <w:p>
      <w:pPr>
        <w:pStyle w:val="Heading2"/>
      </w:pPr>
      <w:r>
        <w:t xml:space="preserve">5. Experimental Procedure</w:t>
      </w:r>
    </w:p>
    <w:p>
      <w:pPr>
        <w:pStyle w:val="FirstParagraph"/>
      </w:pPr>
      <w:r>
        <w:t xml:space="preserve">The experiment will be conducted in three distinct phases: Preparation, Execution, and Analysis. Each phase must be documented meticulously.</w:t>
      </w:r>
    </w:p>
    <w:bookmarkStart w:id="25" w:name="preparation-phase"/>
    <w:p>
      <w:pPr>
        <w:pStyle w:val="Heading3"/>
      </w:pPr>
      <w:r>
        <w:t xml:space="preserve">5.1 Preparation Phase</w:t>
      </w:r>
    </w:p>
    <w:p>
      <w:pPr>
        <w:pStyle w:val="FirstParagraph"/>
      </w:pPr>
      <w:r>
        <w:t xml:space="preserve">Begin by inspecting the reactor and all associated piping for signs of wear or leakage. Ensure that all pressure relief valves are set to the correct operating limits. Load the novel zeolite catalyst into the reactor bed, ensuring uniform distribution to prevent channeling. Preheat the reactor to the initial setpoint of 450°C using the external heating mantle. Verify that the cooling water system, essential for managing the exothermic reaction, is functioning correctly.</w:t>
      </w:r>
    </w:p>
    <w:bookmarkEnd w:id="25"/>
    <w:bookmarkStart w:id="26" w:name="execution-phase"/>
    <w:p>
      <w:pPr>
        <w:pStyle w:val="Heading3"/>
      </w:pPr>
      <w:r>
        <w:t xml:space="preserve">5.2 Execution Phase</w:t>
      </w:r>
    </w:p>
    <w:p>
      <w:pPr>
        <w:pStyle w:val="FirstParagraph"/>
      </w:pPr>
      <w:r>
        <w:t xml:space="preserve">Once the reactor reaches thermal equilibrium, introduce the vacuum gas oil feedstock at a controlled rate of 5 liters per hour. Monitor the reactor temperature and pressure continuously. As a Chemical Engineer, you must adjust the feed rate and temperature to maintain the desired conversion level. Conduct runs at three different temperatures: 450°C, 500°C, and 550°C. For each temperature, collect product samples every 30 minutes for a duration of four hours. Record all operational parameters in the laboratory notebook, including any anomalies observed during the run.</w:t>
      </w:r>
    </w:p>
    <w:bookmarkEnd w:id="26"/>
    <w:bookmarkStart w:id="27" w:name="analysis-phase"/>
    <w:p>
      <w:pPr>
        <w:pStyle w:val="Heading3"/>
      </w:pPr>
      <w:r>
        <w:t xml:space="preserve">5.3 Analysis Phase</w:t>
      </w:r>
    </w:p>
    <w:p>
      <w:pPr>
        <w:pStyle w:val="FirstParagraph"/>
      </w:pPr>
      <w:r>
        <w:t xml:space="preserve">After completing the runs, analyze the collected samples using gas chromatography to determine the composition of the products. Calculate the yield of light olefins, gasoline, and coke for each run. Compare the results with baseline data from previous experiments using conventional catalysts. Evaluate the performance of the novel catalyst in terms of activity, selectivity, and stability.</w:t>
      </w:r>
    </w:p>
    <w:bookmarkEnd w:id="27"/>
    <w:bookmarkEnd w:id="28"/>
    <w:bookmarkStart w:id="29" w:name="data-recording-and-reporting"/>
    <w:p>
      <w:pPr>
        <w:pStyle w:val="Heading2"/>
      </w:pPr>
      <w:r>
        <w:t xml:space="preserve">6. Data Recording and Reporting</w:t>
      </w:r>
    </w:p>
    <w:p>
      <w:pPr>
        <w:pStyle w:val="FirstParagraph"/>
      </w:pPr>
      <w:r>
        <w:t xml:space="preserve">All data must be recorded in real-time using the facility's electronic laboratory notebook (ELN) system. The data should include temperature profiles, pressure readings, feed rates, and product compositions. At the conclusion of the experiment, a comprehensive report must be prepared by the Chemical Engineer. This report should summarize the findings, discuss any deviations from the protocol, and provide recommendations for future work. The report will be submitted to the management team in Riyadh for review and approval.</w:t>
      </w:r>
    </w:p>
    <w:bookmarkEnd w:id="29"/>
    <w:bookmarkStart w:id="30" w:name="conclusion"/>
    <w:p>
      <w:pPr>
        <w:pStyle w:val="Heading2"/>
      </w:pPr>
      <w:r>
        <w:t xml:space="preserve">7. Conclusion</w:t>
      </w:r>
    </w:p>
    <w:p>
      <w:pPr>
        <w:pStyle w:val="FirstParagraph"/>
      </w:pPr>
      <w:r>
        <w:t xml:space="preserve">This Experiment Protocol provides a detailed framework for evaluating the performance of novel catalysts in the FCC process. By adhering to these procedures, Chemical Engineers in Saudi Arabia Riyadh can ensure the safety, accuracy, and reliability of their experimental results. The insights gained from this study will contribute to the ongoing efforts to optimize petrochemical processes and support the strategic objectives of the Kingdom's industrial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Process Optimization in Riyadh</dc:title>
  <dc:creator/>
  <dc:language>en</dc:language>
  <cp:keywords/>
  <dcterms:created xsi:type="dcterms:W3CDTF">2026-10-10T05:08:54Z</dcterms:created>
  <dcterms:modified xsi:type="dcterms:W3CDTF">2026-10-10T05:08:54Z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