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Singapore</w:t>
      </w:r>
      <w:r>
        <w:t xml:space="preserve"> </w:t>
      </w:r>
      <w:r>
        <w:t xml:space="preserve">Singapore</w:t>
      </w:r>
    </w:p>
    <w:bookmarkStart w:id="20" w:name="experiment-protocol-document"/>
    <w:p>
      <w:pPr>
        <w:pStyle w:val="Heading1"/>
      </w:pPr>
      <w:r>
        <w:t xml:space="preserve">Experiment Protocol Document</w:t>
      </w:r>
    </w:p>
    <w:p>
      <w:pPr>
        <w:pStyle w:val="FirstParagraph"/>
      </w:pPr>
      <w:r>
        <w:rPr>
          <w:bCs/>
          <w:b/>
        </w:rPr>
        <w:t xml:space="preserve">Prepared for:</w:t>
      </w:r>
      <w:r>
        <w:t xml:space="preserve"> </w:t>
      </w:r>
      <w:r>
        <w:t xml:space="preserve">Chemical Engineer</w:t>
      </w:r>
    </w:p>
    <w:p>
      <w:pPr>
        <w:pStyle w:val="BodyText"/>
      </w:pPr>
      <w:r>
        <w:rPr>
          <w:bCs/>
          <w:b/>
        </w:rPr>
        <w:t xml:space="preserve">Location:</w:t>
      </w:r>
      <w:r>
        <w:t xml:space="preserve"> </w:t>
      </w:r>
      <w:r>
        <w:t xml:space="preserve">Singapore Singapore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document outlines the procedures and guidelines for conducting experiments related to chemical engineering processes in Singapore Singapore. The protocol is designed to ensure safety, accuracy, and compliance with local regulations and international standards. It is intended for use by Chemical Engineers and their teams working in research, development, and industrial applications within the region.</w:t>
      </w:r>
    </w:p>
    <w:bookmarkEnd w:id="21"/>
    <w:bookmarkStart w:id="22" w:name="objectives"/>
    <w:p>
      <w:pPr>
        <w:pStyle w:val="Heading2"/>
      </w:pPr>
      <w:r>
        <w:t xml:space="preserve">2. Objectives</w:t>
      </w:r>
    </w:p>
    <w:p>
      <w:pPr>
        <w:pStyle w:val="FirstParagraph"/>
      </w:pPr>
      <w:r>
        <w:t xml:space="preserve">The primary objectives of this protocol are:</w:t>
      </w:r>
    </w:p>
    <w:p>
      <w:pPr>
        <w:numPr>
          <w:ilvl w:val="0"/>
          <w:numId w:val="1001"/>
        </w:numPr>
        <w:pStyle w:val="Compact"/>
      </w:pPr>
      <w:r>
        <w:t xml:space="preserve">To establish a standardized approach for conducting chemical engineering experiments in Singapore Singapore.</w:t>
      </w:r>
    </w:p>
    <w:p>
      <w:pPr>
        <w:numPr>
          <w:ilvl w:val="0"/>
          <w:numId w:val="1001"/>
        </w:numPr>
        <w:pStyle w:val="Compact"/>
      </w:pPr>
      <w:r>
        <w:t xml:space="preserve">To ensure the safety of personnel and the environment during experimental procedures.</w:t>
      </w:r>
    </w:p>
    <w:p>
      <w:pPr>
        <w:numPr>
          <w:ilvl w:val="0"/>
          <w:numId w:val="1001"/>
        </w:numPr>
        <w:pStyle w:val="Compact"/>
      </w:pPr>
      <w:r>
        <w:t xml:space="preserve">To maintain the integrity and reliability of experimental data.</w:t>
      </w:r>
    </w:p>
    <w:p>
      <w:pPr>
        <w:numPr>
          <w:ilvl w:val="0"/>
          <w:numId w:val="1001"/>
        </w:numPr>
        <w:pStyle w:val="Compact"/>
      </w:pPr>
      <w:r>
        <w:t xml:space="preserve">To comply with the regulatory requirements set forth by the authorities in Singapore Singapore.</w:t>
      </w:r>
    </w:p>
    <w:bookmarkEnd w:id="22"/>
    <w:bookmarkStart w:id="23" w:name="scope"/>
    <w:p>
      <w:pPr>
        <w:pStyle w:val="Heading2"/>
      </w:pPr>
      <w:r>
        <w:t xml:space="preserve">3. Scope</w:t>
      </w:r>
    </w:p>
    <w:p>
      <w:pPr>
        <w:pStyle w:val="FirstParagraph"/>
      </w:pPr>
      <w:r>
        <w:t xml:space="preserve">This protocol applies to all Chemical Engineers and their teams conducting experiments in laboratories, pilot plants, and industrial facilities located in Singapore Singapore. It covers a wide range of chemical processes, including but not limited to reaction engineering, separation processes, and material synthesis.</w:t>
      </w:r>
    </w:p>
    <w:bookmarkEnd w:id="23"/>
    <w:bookmarkStart w:id="24" w:name="safety-precautions"/>
    <w:p>
      <w:pPr>
        <w:pStyle w:val="Heading2"/>
      </w:pPr>
      <w:r>
        <w:t xml:space="preserve">4. Safety Precautions</w:t>
      </w:r>
    </w:p>
    <w:p>
      <w:pPr>
        <w:pStyle w:val="FirstParagraph"/>
      </w:pPr>
      <w:r>
        <w:t xml:space="preserve">Safety is paramount in all experimental activities. The following precautions must be strictly adhered to:</w:t>
      </w:r>
    </w:p>
    <w:p>
      <w:pPr>
        <w:numPr>
          <w:ilvl w:val="0"/>
          <w:numId w:val="1002"/>
        </w:numPr>
        <w:pStyle w:val="Compact"/>
      </w:pPr>
      <w:r>
        <w:t xml:space="preserve">All personnel must wear appropriate personal protective equipment (PPE), including lab coats, safety goggles, gloves, and closed-toe shoes.</w:t>
      </w:r>
    </w:p>
    <w:p>
      <w:pPr>
        <w:numPr>
          <w:ilvl w:val="0"/>
          <w:numId w:val="1002"/>
        </w:numPr>
        <w:pStyle w:val="Compact"/>
      </w:pPr>
      <w:r>
        <w:t xml:space="preserve">Ensure that all equipment is properly calibrated and maintained before use.</w:t>
      </w:r>
    </w:p>
    <w:p>
      <w:pPr>
        <w:numPr>
          <w:ilvl w:val="0"/>
          <w:numId w:val="1002"/>
        </w:numPr>
        <w:pStyle w:val="Compact"/>
      </w:pPr>
      <w:r>
        <w:t xml:space="preserve">Conduct a risk assessment for each experiment to identify potential hazards and implement control measures.</w:t>
      </w:r>
    </w:p>
    <w:p>
      <w:pPr>
        <w:numPr>
          <w:ilvl w:val="0"/>
          <w:numId w:val="1002"/>
        </w:numPr>
        <w:pStyle w:val="Compact"/>
      </w:pPr>
      <w:r>
        <w:t xml:space="preserve">Follow the Material Safety Data Sheets (MSDS) for all chemicals used in the experiments.</w:t>
      </w:r>
    </w:p>
    <w:p>
      <w:pPr>
        <w:numPr>
          <w:ilvl w:val="0"/>
          <w:numId w:val="1002"/>
        </w:numPr>
        <w:pStyle w:val="Compact"/>
      </w:pPr>
      <w:r>
        <w:t xml:space="preserve">In case of an emergency, follow the established emergency response procedures and contact the relevant authorities in Singapore Singapore.</w:t>
      </w:r>
    </w:p>
    <w:bookmarkEnd w:id="24"/>
    <w:bookmarkStart w:id="25" w:name="experimental-procedures"/>
    <w:p>
      <w:pPr>
        <w:pStyle w:val="Heading2"/>
      </w:pPr>
      <w:r>
        <w:t xml:space="preserve">5. Experimental Procedures</w:t>
      </w:r>
    </w:p>
    <w:p>
      <w:pPr>
        <w:pStyle w:val="FirstParagraph"/>
      </w:pPr>
      <w:r>
        <w:t xml:space="preserve">The following steps outline the general procedure for conducting experiments:</w:t>
      </w:r>
    </w:p>
    <w:p>
      <w:pPr>
        <w:numPr>
          <w:ilvl w:val="0"/>
          <w:numId w:val="1003"/>
        </w:numPr>
        <w:pStyle w:val="Compact"/>
      </w:pPr>
      <w:r>
        <w:rPr>
          <w:bCs/>
          <w:b/>
        </w:rPr>
        <w:t xml:space="preserve">Preparation:</w:t>
      </w:r>
      <w:r>
        <w:t xml:space="preserve"> </w:t>
      </w:r>
      <w:r>
        <w:t xml:space="preserve">Review the experimental plan and ensure all necessary materials and equipment are available.</w:t>
      </w:r>
    </w:p>
    <w:p>
      <w:pPr>
        <w:numPr>
          <w:ilvl w:val="0"/>
          <w:numId w:val="1003"/>
        </w:numPr>
        <w:pStyle w:val="Compact"/>
      </w:pPr>
      <w:r>
        <w:rPr>
          <w:bCs/>
          <w:b/>
        </w:rPr>
        <w:t xml:space="preserve">Setup:</w:t>
      </w:r>
      <w:r>
        <w:t xml:space="preserve"> </w:t>
      </w:r>
      <w:r>
        <w:t xml:space="preserve">Assemble the experimental setup according to the design specifications.</w:t>
      </w:r>
    </w:p>
    <w:p>
      <w:pPr>
        <w:numPr>
          <w:ilvl w:val="0"/>
          <w:numId w:val="1003"/>
        </w:numPr>
        <w:pStyle w:val="Compact"/>
      </w:pPr>
      <w:r>
        <w:rPr>
          <w:bCs/>
          <w:b/>
        </w:rPr>
        <w:t xml:space="preserve">Calibration:</w:t>
      </w:r>
      <w:r>
        <w:t xml:space="preserve"> </w:t>
      </w:r>
      <w:r>
        <w:t xml:space="preserve">Calibrate all instruments and sensors to ensure accurate measurements.</w:t>
      </w:r>
    </w:p>
    <w:p>
      <w:pPr>
        <w:numPr>
          <w:ilvl w:val="0"/>
          <w:numId w:val="1003"/>
        </w:numPr>
        <w:pStyle w:val="Compact"/>
      </w:pPr>
      <w:r>
        <w:rPr>
          <w:bCs/>
          <w:b/>
        </w:rPr>
        <w:t xml:space="preserve">Execution:</w:t>
      </w:r>
      <w:r>
        <w:t xml:space="preserve"> </w:t>
      </w:r>
      <w:r>
        <w:t xml:space="preserve">Carry out the experiment according to the predefined protocol, recording all observations and data.</w:t>
      </w:r>
    </w:p>
    <w:p>
      <w:pPr>
        <w:numPr>
          <w:ilvl w:val="0"/>
          <w:numId w:val="1003"/>
        </w:numPr>
        <w:pStyle w:val="Compact"/>
      </w:pPr>
      <w:r>
        <w:rPr>
          <w:bCs/>
          <w:b/>
        </w:rPr>
        <w:t xml:space="preserve">Monitoring:</w:t>
      </w:r>
      <w:r>
        <w:t xml:space="preserve"> </w:t>
      </w:r>
      <w:r>
        <w:t xml:space="preserve">Continuously monitor the experiment for any deviations or anomalies.</w:t>
      </w:r>
    </w:p>
    <w:p>
      <w:pPr>
        <w:numPr>
          <w:ilvl w:val="0"/>
          <w:numId w:val="1003"/>
        </w:numPr>
        <w:pStyle w:val="Compact"/>
      </w:pPr>
      <w:r>
        <w:rPr>
          <w:bCs/>
          <w:b/>
        </w:rPr>
        <w:t xml:space="preserve">Completion:</w:t>
      </w:r>
      <w:r>
        <w:t xml:space="preserve"> </w:t>
      </w:r>
      <w:r>
        <w:t xml:space="preserve">Once the experiment is complete, shut down the equipment safely and clean the workspace.</w:t>
      </w:r>
    </w:p>
    <w:bookmarkEnd w:id="25"/>
    <w:bookmarkStart w:id="26" w:name="data-collection-and-analysis"/>
    <w:p>
      <w:pPr>
        <w:pStyle w:val="Heading2"/>
      </w:pPr>
      <w:r>
        <w:t xml:space="preserve">6. Data Collection and Analysis</w:t>
      </w:r>
    </w:p>
    <w:p>
      <w:pPr>
        <w:pStyle w:val="FirstParagraph"/>
      </w:pPr>
      <w:r>
        <w:t xml:space="preserve">Accurate data collection and analysis are crucial for the success of any experiment. The following guidelines should be followed:</w:t>
      </w:r>
    </w:p>
    <w:p>
      <w:pPr>
        <w:numPr>
          <w:ilvl w:val="0"/>
          <w:numId w:val="1004"/>
        </w:numPr>
        <w:pStyle w:val="Compact"/>
      </w:pPr>
      <w:r>
        <w:t xml:space="preserve">Use standardized methods for data collection to ensure consistency and reliability.</w:t>
      </w:r>
    </w:p>
    <w:p>
      <w:pPr>
        <w:numPr>
          <w:ilvl w:val="0"/>
          <w:numId w:val="1004"/>
        </w:numPr>
        <w:pStyle w:val="Compact"/>
      </w:pPr>
      <w:r>
        <w:t xml:space="preserve">Record all data in a clear and organized manner, including timestamps and environmental conditions.</w:t>
      </w:r>
    </w:p>
    <w:p>
      <w:pPr>
        <w:numPr>
          <w:ilvl w:val="0"/>
          <w:numId w:val="1004"/>
        </w:numPr>
        <w:pStyle w:val="Compact"/>
      </w:pPr>
      <w:r>
        <w:t xml:space="preserve">Analyze the data using appropriate statistical methods to draw meaningful conclusions.</w:t>
      </w:r>
    </w:p>
    <w:p>
      <w:pPr>
        <w:numPr>
          <w:ilvl w:val="0"/>
          <w:numId w:val="1004"/>
        </w:numPr>
        <w:pStyle w:val="Compact"/>
      </w:pPr>
      <w:r>
        <w:t xml:space="preserve">Document any anomalies or unexpected results and investigate their causes.</w:t>
      </w:r>
    </w:p>
    <w:bookmarkEnd w:id="26"/>
    <w:bookmarkStart w:id="27" w:name="quality-control"/>
    <w:p>
      <w:pPr>
        <w:pStyle w:val="Heading2"/>
      </w:pPr>
      <w:r>
        <w:t xml:space="preserve">7. Quality Control</w:t>
      </w:r>
    </w:p>
    <w:p>
      <w:pPr>
        <w:pStyle w:val="FirstParagraph"/>
      </w:pPr>
      <w:r>
        <w:t xml:space="preserve">To maintain the quality of experimental results, the following quality control measures should be implemented:</w:t>
      </w:r>
    </w:p>
    <w:p>
      <w:pPr>
        <w:numPr>
          <w:ilvl w:val="0"/>
          <w:numId w:val="1005"/>
        </w:numPr>
        <w:pStyle w:val="Compact"/>
      </w:pPr>
      <w:r>
        <w:t xml:space="preserve">Regularly review and update the experimental protocols to incorporate new findings and best practices.</w:t>
      </w:r>
    </w:p>
    <w:p>
      <w:pPr>
        <w:numPr>
          <w:ilvl w:val="0"/>
          <w:numId w:val="1005"/>
        </w:numPr>
        <w:pStyle w:val="Compact"/>
      </w:pPr>
      <w:r>
        <w:t xml:space="preserve">Conduct periodic audits of the experimental processes to ensure compliance with the protocol.</w:t>
      </w:r>
    </w:p>
    <w:p>
      <w:pPr>
        <w:numPr>
          <w:ilvl w:val="0"/>
          <w:numId w:val="1005"/>
        </w:numPr>
        <w:pStyle w:val="Compact"/>
      </w:pPr>
      <w:r>
        <w:t xml:space="preserve">Provide training and education to all personnel involved in the experiments to enhance their skills and knowledge.</w:t>
      </w:r>
    </w:p>
    <w:bookmarkEnd w:id="27"/>
    <w:bookmarkStart w:id="28" w:name="regulatory-compliance"/>
    <w:p>
      <w:pPr>
        <w:pStyle w:val="Heading2"/>
      </w:pPr>
      <w:r>
        <w:t xml:space="preserve">8. Regulatory Compliance</w:t>
      </w:r>
    </w:p>
    <w:p>
      <w:pPr>
        <w:pStyle w:val="FirstParagraph"/>
      </w:pPr>
      <w:r>
        <w:t xml:space="preserve">All experiments conducted in Singapore Singapore must comply with the relevant local and international regulations. This includes:</w:t>
      </w:r>
    </w:p>
    <w:p>
      <w:pPr>
        <w:numPr>
          <w:ilvl w:val="0"/>
          <w:numId w:val="1006"/>
        </w:numPr>
        <w:pStyle w:val="Compact"/>
      </w:pPr>
      <w:r>
        <w:t xml:space="preserve">Adhering to the guidelines set by the National Environment Agency (NEA) and the Workplace Safety and Health Council (WSHC).</w:t>
      </w:r>
    </w:p>
    <w:p>
      <w:pPr>
        <w:numPr>
          <w:ilvl w:val="0"/>
          <w:numId w:val="1006"/>
        </w:numPr>
        <w:pStyle w:val="Compact"/>
      </w:pPr>
      <w:r>
        <w:t xml:space="preserve">Ensuring that all waste materials are disposed of in accordance with environmental regulations.</w:t>
      </w:r>
    </w:p>
    <w:p>
      <w:pPr>
        <w:numPr>
          <w:ilvl w:val="0"/>
          <w:numId w:val="1006"/>
        </w:numPr>
        <w:pStyle w:val="Compact"/>
      </w:pPr>
      <w:r>
        <w:t xml:space="preserve">Maintaining accurate records of all experimental activities for regulatory review.</w:t>
      </w:r>
    </w:p>
    <w:bookmarkEnd w:id="28"/>
    <w:bookmarkStart w:id="29" w:name="conclusion"/>
    <w:p>
      <w:pPr>
        <w:pStyle w:val="Heading2"/>
      </w:pPr>
      <w:r>
        <w:t xml:space="preserve">9. Conclusion</w:t>
      </w:r>
    </w:p>
    <w:p>
      <w:pPr>
        <w:pStyle w:val="FirstParagraph"/>
      </w:pPr>
      <w:r>
        <w:t xml:space="preserve">This Experiment Protocol document serves as a comprehensive guide for Chemical Engineers conducting experiments in Singapore Singapore. By following the outlined procedures and guidelines, researchers can ensure the safety, accuracy, and compliance of their experimental activities. Continuous improvement and adherence to best practices are essential for advancing the field of chemical engineering in the region.</w:t>
      </w:r>
    </w:p>
    <w:bookmarkEnd w:id="29"/>
    <w:p>
      <w:pPr>
        <w:pStyle w:val="BodyText"/>
      </w:pPr>
      <w:r>
        <w:rPr>
          <w:bCs/>
          <w:b/>
        </w:rPr>
        <w:t xml:space="preserve">Prepared by:</w:t>
      </w:r>
      <w:r>
        <w:t xml:space="preserve"> </w:t>
      </w:r>
      <w:r>
        <w:t xml:space="preserve">[Name]</w:t>
      </w:r>
    </w:p>
    <w:p>
      <w:pPr>
        <w:pStyle w:val="BodyText"/>
      </w:pPr>
      <w:r>
        <w:rPr>
          <w:bCs/>
          <w:b/>
        </w:rPr>
        <w:t xml:space="preserve">Position:</w:t>
      </w:r>
      <w:r>
        <w:t xml:space="preserve"> </w:t>
      </w:r>
      <w:r>
        <w:t xml:space="preserve">Chemical Engineer</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Singapore Singapore</dc:title>
  <dc:creator/>
  <dc:language>en</dc:language>
  <cp:keywords/>
  <dcterms:created xsi:type="dcterms:W3CDTF">2026-10-10T01:19:52Z</dcterms:created>
  <dcterms:modified xsi:type="dcterms:W3CDTF">2026-10-10T01:19:52Z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