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Chemical Engineer</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guidelines for conducting a chemical engineering experiment in South Africa Cape Town. The primary objective is to evaluate the efficiency of a novel catalyst in the production of biofuels from locally sourced biomass. This protocol is designed to ensure safety, accuracy, and compliance with local regulations and standards.</w:t>
      </w:r>
    </w:p>
    <w:p>
      <w:pPr>
        <w:pStyle w:val="BodyText"/>
      </w:pPr>
      <w:r>
        <w:t xml:space="preserve">2. Objectives</w:t>
      </w:r>
    </w:p>
    <w:p>
      <w:pPr>
        <w:numPr>
          <w:ilvl w:val="0"/>
          <w:numId w:val="1001"/>
        </w:numPr>
        <w:pStyle w:val="Compact"/>
      </w:pPr>
      <w:r>
        <w:t xml:space="preserve">To assess the catalytic activity of the new catalyst in converting biomass to biofuels.</w:t>
      </w:r>
    </w:p>
    <w:p>
      <w:pPr>
        <w:numPr>
          <w:ilvl w:val="0"/>
          <w:numId w:val="1001"/>
        </w:numPr>
        <w:pStyle w:val="Compact"/>
      </w:pPr>
      <w:r>
        <w:t xml:space="preserve">To determine the optimal reaction conditions (temperature, pressure, and time) for maximum yield.</w:t>
      </w:r>
    </w:p>
    <w:p>
      <w:pPr>
        <w:numPr>
          <w:ilvl w:val="0"/>
          <w:numId w:val="1001"/>
        </w:numPr>
        <w:pStyle w:val="Compact"/>
      </w:pPr>
      <w:r>
        <w:t xml:space="preserve">To analyze the environmental impact of the process in the context of South Africa Cape Town's sustainability goals.</w:t>
      </w:r>
    </w:p>
    <w:p>
      <w:pPr>
        <w:pStyle w:val="FirstParagraph"/>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Biomass (locally sourced)</w:t>
            </w:r>
          </w:p>
        </w:tc>
        <w:tc>
          <w:tcPr/>
          <w:p>
            <w:pPr>
              <w:pStyle w:val="Compact"/>
              <w:jc w:val="left"/>
            </w:pPr>
            <w:r>
              <w:t xml:space="preserve">10 kg</w:t>
            </w:r>
          </w:p>
        </w:tc>
        <w:tc>
          <w:tcPr/>
          <w:p>
            <w:pPr>
              <w:pStyle w:val="Compact"/>
              <w:jc w:val="left"/>
            </w:pPr>
            <w:r>
              <w:t xml:space="preserve">Dried and ground to 2 mm particle size</w:t>
            </w:r>
          </w:p>
        </w:tc>
      </w:tr>
      <w:tr>
        <w:tc>
          <w:tcPr/>
          <w:p>
            <w:pPr>
              <w:pStyle w:val="Compact"/>
              <w:jc w:val="left"/>
            </w:pPr>
            <w:r>
              <w:t xml:space="preserve">Novel Catalyst</w:t>
            </w:r>
          </w:p>
        </w:tc>
        <w:tc>
          <w:tcPr/>
          <w:p>
            <w:pPr>
              <w:pStyle w:val="Compact"/>
              <w:jc w:val="left"/>
            </w:pPr>
            <w:r>
              <w:t xml:space="preserve">500 g</w:t>
            </w:r>
          </w:p>
        </w:tc>
        <w:tc>
          <w:tcPr/>
          <w:p>
            <w:pPr>
              <w:pStyle w:val="Compact"/>
              <w:jc w:val="left"/>
            </w:pPr>
            <w:r>
              <w:t xml:space="preserve">Provided by the research team</w:t>
            </w:r>
          </w:p>
        </w:tc>
      </w:tr>
      <w:tr>
        <w:tc>
          <w:tcPr/>
          <w:p>
            <w:pPr>
              <w:pStyle w:val="Compact"/>
              <w:jc w:val="left"/>
            </w:pPr>
            <w:r>
              <w:t xml:space="preserve">Reactor</w:t>
            </w:r>
          </w:p>
        </w:tc>
        <w:tc>
          <w:tcPr/>
          <w:p>
            <w:pPr>
              <w:pStyle w:val="Compact"/>
              <w:jc w:val="left"/>
            </w:pPr>
            <w:r>
              <w:t xml:space="preserve">1</w:t>
            </w:r>
          </w:p>
        </w:tc>
        <w:tc>
          <w:tcPr/>
          <w:p>
            <w:pPr>
              <w:pStyle w:val="Compact"/>
              <w:jc w:val="left"/>
            </w:pPr>
            <w:r>
              <w:t xml:space="preserve">Stainless steel, 5 L capacity, with temperature and pressure control</w:t>
            </w:r>
          </w:p>
        </w:tc>
      </w:tr>
      <w:tr>
        <w:tc>
          <w:tcPr/>
          <w:p>
            <w:pPr>
              <w:pStyle w:val="Compact"/>
              <w:jc w:val="left"/>
            </w:pPr>
            <w:r>
              <w:t xml:space="preserve">Gas Chromatograph</w:t>
            </w:r>
          </w:p>
        </w:tc>
        <w:tc>
          <w:tcPr/>
          <w:p>
            <w:pPr>
              <w:pStyle w:val="Compact"/>
              <w:jc w:val="left"/>
            </w:pPr>
            <w:r>
              <w:t xml:space="preserve">1</w:t>
            </w:r>
          </w:p>
        </w:tc>
        <w:tc>
          <w:tcPr/>
          <w:p>
            <w:pPr>
              <w:pStyle w:val="Compact"/>
              <w:jc w:val="left"/>
            </w:pPr>
            <w:r>
              <w:t xml:space="preserve">For product analysis</w:t>
            </w:r>
          </w:p>
        </w:tc>
      </w:tr>
      <w:tr>
        <w:tc>
          <w:tcPr/>
          <w:p>
            <w:pPr>
              <w:pStyle w:val="Compact"/>
              <w:jc w:val="left"/>
            </w:pPr>
            <w:r>
              <w:t xml:space="preserve">Safety Equipment</w:t>
            </w:r>
          </w:p>
        </w:tc>
        <w:tc>
          <w:tcPr/>
          <w:p>
            <w:pPr>
              <w:pStyle w:val="Compact"/>
              <w:jc w:val="left"/>
            </w:pPr>
            <w:r>
              <w:t xml:space="preserve">As needed</w:t>
            </w:r>
          </w:p>
        </w:tc>
        <w:tc>
          <w:tcPr/>
          <w:p>
            <w:pPr>
              <w:pStyle w:val="Compact"/>
              <w:jc w:val="left"/>
            </w:pPr>
            <w:r>
              <w:t xml:space="preserve">Gloves, goggles, lab coats, fire extinguishers</w:t>
            </w:r>
          </w:p>
        </w:tc>
      </w:tr>
    </w:tbl>
    <w:p>
      <w:pPr>
        <w:pStyle w:val="BodyText"/>
      </w:pPr>
      <w:r>
        <w:t xml:space="preserve">4. Procedure</w:t>
      </w:r>
    </w:p>
    <w:p>
      <w:pPr>
        <w:numPr>
          <w:ilvl w:val="0"/>
          <w:numId w:val="1002"/>
        </w:numPr>
        <w:pStyle w:val="Compact"/>
      </w:pPr>
      <w:r>
        <w:rPr>
          <w:bCs/>
          <w:b/>
        </w:rPr>
        <w:t xml:space="preserve">Preparation:</w:t>
      </w:r>
      <w:r>
        <w:t xml:space="preserve"> </w:t>
      </w:r>
      <w:r>
        <w:t xml:space="preserve">Ensure all equipment is clean and calibrated. Prepare the biomass by drying and grinding it to the specified particle size.</w:t>
      </w:r>
    </w:p>
    <w:p>
      <w:pPr>
        <w:numPr>
          <w:ilvl w:val="0"/>
          <w:numId w:val="1002"/>
        </w:numPr>
        <w:pStyle w:val="Compact"/>
      </w:pPr>
      <w:r>
        <w:rPr>
          <w:bCs/>
          <w:b/>
        </w:rPr>
        <w:t xml:space="preserve">Charging the Reactor:</w:t>
      </w:r>
      <w:r>
        <w:t xml:space="preserve"> </w:t>
      </w:r>
      <w:r>
        <w:t xml:space="preserve">Load the biomass and catalyst into the reactor in the specified ratio. Seal the reactor and check for leaks.</w:t>
      </w:r>
    </w:p>
    <w:p>
      <w:pPr>
        <w:numPr>
          <w:ilvl w:val="0"/>
          <w:numId w:val="1002"/>
        </w:numPr>
        <w:pStyle w:val="Compact"/>
      </w:pPr>
      <w:r>
        <w:rPr>
          <w:bCs/>
          <w:b/>
        </w:rPr>
        <w:t xml:space="preserve">Setting Reaction Conditions:</w:t>
      </w:r>
      <w:r>
        <w:t xml:space="preserve"> </w:t>
      </w:r>
      <w:r>
        <w:t xml:space="preserve">Set the temperature to 300°C and pressure to 5 MPa. Start the reaction and monitor the conditions continuously.</w:t>
      </w:r>
    </w:p>
    <w:p>
      <w:pPr>
        <w:numPr>
          <w:ilvl w:val="0"/>
          <w:numId w:val="1002"/>
        </w:numPr>
        <w:pStyle w:val="Compact"/>
      </w:pPr>
      <w:r>
        <w:rPr>
          <w:bCs/>
          <w:b/>
        </w:rPr>
        <w:t xml:space="preserve">Sampling:</w:t>
      </w:r>
      <w:r>
        <w:t xml:space="preserve"> </w:t>
      </w:r>
      <w:r>
        <w:t xml:space="preserve">At predetermined intervals (e.g., 1, 2, 4, and 8 hours), take samples from the reactor for analysis.</w:t>
      </w:r>
    </w:p>
    <w:p>
      <w:pPr>
        <w:numPr>
          <w:ilvl w:val="0"/>
          <w:numId w:val="1002"/>
        </w:numPr>
        <w:pStyle w:val="Compact"/>
      </w:pPr>
      <w:r>
        <w:rPr>
          <w:bCs/>
          <w:b/>
        </w:rPr>
        <w:t xml:space="preserve">Analysis:</w:t>
      </w:r>
      <w:r>
        <w:t xml:space="preserve"> </w:t>
      </w:r>
      <w:r>
        <w:t xml:space="preserve">Use the gas chromatograph to analyze the samples for biofuel yield and composition.</w:t>
      </w:r>
    </w:p>
    <w:p>
      <w:pPr>
        <w:numPr>
          <w:ilvl w:val="0"/>
          <w:numId w:val="1002"/>
        </w:numPr>
        <w:pStyle w:val="Compact"/>
      </w:pPr>
      <w:r>
        <w:rPr>
          <w:bCs/>
          <w:b/>
        </w:rPr>
        <w:t xml:space="preserve">Termination:</w:t>
      </w:r>
      <w:r>
        <w:t xml:space="preserve"> </w:t>
      </w:r>
      <w:r>
        <w:t xml:space="preserve">After the final sampling, allow the reactor to cool down and depressurize safely. Remove the remaining biomass and catalyst for further analysis.</w:t>
      </w:r>
    </w:p>
    <w:p>
      <w:pPr>
        <w:pStyle w:val="FirstParagraph"/>
      </w:pPr>
      <w:r>
        <w:t xml:space="preserve">5. Safety Considerations</w:t>
      </w:r>
    </w:p>
    <w:p>
      <w:pPr>
        <w:pStyle w:val="BodyText"/>
      </w:pPr>
      <w:r>
        <w:t xml:space="preserve">Given the high temperatures and pressures involved, strict adherence to safety protocols is essential. All personnel must wear appropriate personal protective equipment (PPE) and be trained in emergency procedures. The laboratory must be equipped with fire extinguishers, eyewash stations, and safety showers. Regular safety drills should be conducted to ensure preparedness.</w:t>
      </w:r>
    </w:p>
    <w:p>
      <w:pPr>
        <w:pStyle w:val="BodyText"/>
      </w:pPr>
      <w:r>
        <w:t xml:space="preserve">6. Data Collection and Analysis</w:t>
      </w:r>
    </w:p>
    <w:p>
      <w:pPr>
        <w:pStyle w:val="BodyText"/>
      </w:pPr>
      <w:r>
        <w:t xml:space="preserve">Data will be collected at each sampling interval and recorded in a standardized format. The biofuel yield will be calculated based on the mass of biofuel produced relative to the initial biomass. Statistical analysis will be performed to determine the significance of the results and to identify the optimal reaction conditions.</w:t>
      </w:r>
    </w:p>
    <w:p>
      <w:pPr>
        <w:pStyle w:val="BodyText"/>
      </w:pPr>
      <w:r>
        <w:t xml:space="preserve">7. Environmental Considerations</w:t>
      </w:r>
    </w:p>
    <w:p>
      <w:pPr>
        <w:pStyle w:val="BodyText"/>
      </w:pPr>
      <w:r>
        <w:t xml:space="preserve">The experiment is designed with environmental sustainability in mind, aligning with South Africa Cape Town's commitment to green energy. The use of locally sourced biomass reduces transportation emissions, and the novel catalyst is expected to enhance the efficiency of the biofuel production process, thereby reducing the overall carbon footprint.</w:t>
      </w:r>
    </w:p>
    <w:p>
      <w:pPr>
        <w:pStyle w:val="BodyText"/>
      </w:pPr>
      <w:r>
        <w:t xml:space="preserve">8. Conclusion</w:t>
      </w:r>
    </w:p>
    <w:p>
      <w:pPr>
        <w:pStyle w:val="BodyText"/>
      </w:pPr>
      <w:r>
        <w:t xml:space="preserve">This Experiment Protocol provides a comprehensive framework for conducting a chemical engineering experiment in South Africa Cape Town. By following these guidelines, the research team aims to achieve reliable and meaningful results that contribute to the advancement of biofuel technology and support the region's sustainability efforts.</w:t>
      </w:r>
    </w:p>
    <w:p>
      <w:pPr>
        <w:pStyle w:val="BodyText"/>
      </w:pPr>
      <w:r>
        <w:t xml:space="preserve">For further information, please contact the Chemical Engineer at the provided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South Africa Cape Town</dc:title>
  <dc:creator/>
  <dc:language>en</dc:language>
  <cp:keywords/>
  <dcterms:created xsi:type="dcterms:W3CDTF">2026-10-10T08:38:12Z</dcterms:created>
  <dcterms:modified xsi:type="dcterms:W3CDTF">2026-10-10T08:38:12Z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