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Catalytic</w:t>
      </w:r>
      <w:r>
        <w:t xml:space="preserve"> </w:t>
      </w:r>
      <w:r>
        <w:t xml:space="preserve">Reactor</w:t>
      </w:r>
      <w:r>
        <w:t xml:space="preserve"> </w:t>
      </w:r>
      <w:r>
        <w:t xml:space="preserve">Optimization</w:t>
      </w:r>
    </w:p>
    <w:p>
      <w:pPr>
        <w:pStyle w:val="FirstParagraph"/>
      </w:pPr>
      <w:r>
        <w:rPr>
          <w:bCs/>
          <w:b/>
        </w:rPr>
        <w:t xml:space="preserve">Document ID:</w:t>
      </w:r>
      <w:r>
        <w:t xml:space="preserve"> </w:t>
      </w:r>
      <w:r>
        <w:t xml:space="preserve">EXP-BCN-2023-CE-042</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Barcelona, Spain</w:t>
      </w:r>
    </w:p>
    <w:bookmarkStart w:id="30" w:name="Xddcd77f0cd5bd5423a59ee98ebeab0ffcacc006"/>
    <w:p>
      <w:pPr>
        <w:pStyle w:val="Heading1"/>
      </w:pPr>
      <w:r>
        <w:t xml:space="preserve">Experiment Protocol: Optimization of Heterogeneous Catalysis in Continuous Flow Reactors</w:t>
      </w:r>
    </w:p>
    <w:p>
      <w:pPr>
        <w:pStyle w:val="FirstParagraph"/>
      </w:pPr>
      <w:r>
        <w:rPr>
          <w:bCs/>
          <w:b/>
        </w:rPr>
        <w:t xml:space="preserve">Prepared for:</w:t>
      </w:r>
      <w:r>
        <w:t xml:space="preserve"> </w:t>
      </w:r>
      <w:r>
        <w:t xml:space="preserve">Advanced Chemical Engineering Research Unit</w:t>
      </w:r>
      <w:r>
        <w:br/>
      </w:r>
      <w:r>
        <w:rPr>
          <w:bCs/>
          <w:b/>
        </w:rPr>
        <w:t xml:space="preserve">Prepared by:</w:t>
      </w:r>
      <w:r>
        <w:t xml:space="preserve"> </w:t>
      </w:r>
      <w:r>
        <w:t xml:space="preserve">Lead Chemical Engineer</w:t>
      </w:r>
      <w:r>
        <w:br/>
      </w:r>
      <w:r>
        <w:rPr>
          <w:bCs/>
          <w:b/>
        </w:rPr>
        <w:t xml:space="preserve">Facility:</w:t>
      </w:r>
      <w:r>
        <w:t xml:space="preserve"> </w:t>
      </w:r>
      <w:r>
        <w:t xml:space="preserve">Industrial Chemistry Laboratory, Barcelona Technology Park</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the optimization of a fixed-bed catalytic reactor designed for the selective oxidation of organic substrates. As a Chemical Engineer operating within the highly regulated and technologically advanced environment of Spain Barcelona, the primary objective is to enhance the conversion efficiency of the catalyst while strictly adhering to European Union safety standards and local environmental regulations.</w:t>
      </w:r>
    </w:p>
    <w:p>
      <w:pPr>
        <w:pStyle w:val="BodyText"/>
      </w:pPr>
      <w:r>
        <w:t xml:space="preserve">The specific goals of this experiment are to determine the optimal temperature and pressure profiles that maximize yield, minimize byproduct formation, and ensure the thermal stability of the catalyst bed. This protocol is designed to be reproducible, ensuring that data collected can be validated by peer engineers and regulatory bodies in Catalonia.</w:t>
      </w:r>
    </w:p>
    <w:bookmarkEnd w:id="20"/>
    <w:bookmarkStart w:id="21" w:name="Xc1bf6019d7c7f546cd756b019a9b2d8bdab0c79"/>
    <w:p>
      <w:pPr>
        <w:pStyle w:val="Heading2"/>
      </w:pPr>
      <w:r>
        <w:t xml:space="preserve">2. Regulatory Compliance and Safety Standards</w:t>
      </w:r>
    </w:p>
    <w:p>
      <w:pPr>
        <w:pStyle w:val="FirstParagraph"/>
      </w:pPr>
      <w:r>
        <w:t xml:space="preserve">Given the location in Barcelona, this experiment must comply with the Spanish Royal Decree 1630/1992 regarding the protection of workers against risks related to chemical agents, as well as the REACH regulation of the European Union. The Chemical Engineer in charge is responsible for ensuring that all personnel are trained in the specific hazards associated with the reagents used.</w:t>
      </w:r>
    </w:p>
    <w:p>
      <w:pPr>
        <w:pStyle w:val="BodyText"/>
      </w:pPr>
      <w:r>
        <w:rPr>
          <w:bCs/>
          <w:b/>
        </w:rPr>
        <w:t xml:space="preserve">CRITICAL SAFETY NOTICE:</w:t>
      </w:r>
      <w:r>
        <w:t xml:space="preserve"> </w:t>
      </w:r>
      <w:r>
        <w:t xml:space="preserve">This experiment involves high-pressure gases and exothermic reactions. Failure to follow this protocol may result in thermal runaway, equipment failure, or hazardous exposure. All work must be conducted inside the certified fume hoods located in the Barcelona laboratory facility.</w:t>
      </w:r>
    </w:p>
    <w:bookmarkEnd w:id="21"/>
    <w:bookmarkStart w:id="22" w:name="materials-and-equipment"/>
    <w:p>
      <w:pPr>
        <w:pStyle w:val="Heading2"/>
      </w:pPr>
      <w:r>
        <w:t xml:space="preserve">3. Materials and Equipment</w:t>
      </w:r>
    </w:p>
    <w:p>
      <w:pPr>
        <w:pStyle w:val="FirstParagraph"/>
      </w:pPr>
      <w:r>
        <w:t xml:space="preserve">The following equipment and materials are required to execute this protocol. All glassware and metal components must be inspected for integrity prior to use.</w:t>
      </w:r>
    </w:p>
    <w:p>
      <w:pPr>
        <w:numPr>
          <w:ilvl w:val="0"/>
          <w:numId w:val="1001"/>
        </w:numPr>
        <w:pStyle w:val="Compact"/>
      </w:pPr>
      <w:r>
        <w:rPr>
          <w:bCs/>
          <w:b/>
        </w:rPr>
        <w:t xml:space="preserve">Reactor System:</w:t>
      </w:r>
      <w:r>
        <w:t xml:space="preserve"> </w:t>
      </w:r>
      <w:r>
        <w:t xml:space="preserve">Stainless steel continuous flow fixed-bed reactor (autoclave type) capable of withstanding up to 50 bar pressure.</w:t>
      </w:r>
    </w:p>
    <w:p>
      <w:pPr>
        <w:numPr>
          <w:ilvl w:val="0"/>
          <w:numId w:val="1001"/>
        </w:numPr>
        <w:pStyle w:val="Compact"/>
      </w:pPr>
      <w:r>
        <w:rPr>
          <w:bCs/>
          <w:b/>
        </w:rPr>
        <w:t xml:space="preserve">Catalyst:</w:t>
      </w:r>
      <w:r>
        <w:t xml:space="preserve"> </w:t>
      </w:r>
      <w:r>
        <w:t xml:space="preserve">50 grams of Palladium on Carbon (Pd/C) or specified metal oxide catalyst.</w:t>
      </w:r>
    </w:p>
    <w:p>
      <w:pPr>
        <w:numPr>
          <w:ilvl w:val="0"/>
          <w:numId w:val="1001"/>
        </w:numPr>
        <w:pStyle w:val="Compact"/>
      </w:pPr>
      <w:r>
        <w:rPr>
          <w:bCs/>
          <w:b/>
        </w:rPr>
        <w:t xml:space="preserve">Reactants:</w:t>
      </w:r>
      <w:r>
        <w:t xml:space="preserve"> </w:t>
      </w:r>
      <w:r>
        <w:t xml:space="preserve">High-purity organic substrate (99.9% purity) and Oxygen/Nitrogen gas mixtures.</w:t>
      </w:r>
    </w:p>
    <w:p>
      <w:pPr>
        <w:numPr>
          <w:ilvl w:val="0"/>
          <w:numId w:val="1001"/>
        </w:numPr>
        <w:pStyle w:val="Compact"/>
      </w:pPr>
      <w:r>
        <w:rPr>
          <w:bCs/>
          <w:b/>
        </w:rPr>
        <w:t xml:space="preserve">Control Systems:</w:t>
      </w:r>
      <w:r>
        <w:t xml:space="preserve"> </w:t>
      </w:r>
      <w:r>
        <w:t xml:space="preserve">PID temperature controllers, mass flow controllers (MFCs), and pressure transducers.</w:t>
      </w:r>
    </w:p>
    <w:p>
      <w:pPr>
        <w:numPr>
          <w:ilvl w:val="0"/>
          <w:numId w:val="1001"/>
        </w:numPr>
        <w:pStyle w:val="Compact"/>
      </w:pPr>
      <w:r>
        <w:rPr>
          <w:bCs/>
          <w:b/>
        </w:rPr>
        <w:t xml:space="preserve">Analysis Tools:</w:t>
      </w:r>
      <w:r>
        <w:t xml:space="preserve"> </w:t>
      </w:r>
      <w:r>
        <w:t xml:space="preserve">Gas Chromatograph (GC) equipped with FID and TCD detectors for real-time product analysis.</w:t>
      </w:r>
    </w:p>
    <w:p>
      <w:pPr>
        <w:numPr>
          <w:ilvl w:val="0"/>
          <w:numId w:val="1001"/>
        </w:numPr>
        <w:pStyle w:val="Compact"/>
      </w:pPr>
      <w:r>
        <w:rPr>
          <w:bCs/>
          <w:b/>
        </w:rPr>
        <w:t xml:space="preserve">PPE:</w:t>
      </w:r>
      <w:r>
        <w:t xml:space="preserve"> </w:t>
      </w:r>
      <w:r>
        <w:t xml:space="preserve">Lab coat, safety goggles, nitrile gloves, and face shield.</w:t>
      </w:r>
    </w:p>
    <w:bookmarkEnd w:id="22"/>
    <w:bookmarkStart w:id="27" w:name="experimental-procedure"/>
    <w:p>
      <w:pPr>
        <w:pStyle w:val="Heading2"/>
      </w:pPr>
      <w:r>
        <w:t xml:space="preserve">4. Experimental Procedure</w:t>
      </w:r>
    </w:p>
    <w:p>
      <w:pPr>
        <w:pStyle w:val="FirstParagraph"/>
      </w:pPr>
      <w:r>
        <w:t xml:space="preserve">The Chemical Engineer must execute the following steps in the exact order specified. Deviations must be documented in the laboratory logbook.</w:t>
      </w:r>
    </w:p>
    <w:bookmarkStart w:id="23" w:name="preparation-and-loading"/>
    <w:p>
      <w:pPr>
        <w:pStyle w:val="Heading3"/>
      </w:pPr>
      <w:r>
        <w:t xml:space="preserve">4.1. Preparation and Loading</w:t>
      </w:r>
    </w:p>
    <w:p>
      <w:pPr>
        <w:numPr>
          <w:ilvl w:val="0"/>
          <w:numId w:val="1002"/>
        </w:numPr>
        <w:pStyle w:val="Compact"/>
      </w:pPr>
      <w:r>
        <w:t xml:space="preserve">Calibrate all sensors (temperature, pressure, and flow) according to the manufacturer's specifications.</w:t>
      </w:r>
    </w:p>
    <w:p>
      <w:pPr>
        <w:numPr>
          <w:ilvl w:val="0"/>
          <w:numId w:val="1002"/>
        </w:numPr>
        <w:pStyle w:val="Compact"/>
      </w:pPr>
      <w:r>
        <w:t xml:space="preserve">Prepare the catalyst bed by mixing the active catalyst with inert alumina spheres to ensure uniform heat distribution and prevent channeling.</w:t>
      </w:r>
    </w:p>
    <w:p>
      <w:pPr>
        <w:numPr>
          <w:ilvl w:val="0"/>
          <w:numId w:val="1002"/>
        </w:numPr>
        <w:pStyle w:val="Compact"/>
      </w:pPr>
      <w:r>
        <w:t xml:space="preserve">Load the catalyst mixture into the reactor tube carefully to avoid compaction, which could increase pressure drop.</w:t>
      </w:r>
    </w:p>
    <w:p>
      <w:pPr>
        <w:numPr>
          <w:ilvl w:val="0"/>
          <w:numId w:val="1002"/>
        </w:numPr>
        <w:pStyle w:val="Compact"/>
      </w:pPr>
      <w:r>
        <w:t xml:space="preserve">Seal the reactor vessel and perform a leak test using Nitrogen gas at 10 bar. Ensure no leaks are detected using a soap solution or electronic leak detector.</w:t>
      </w:r>
    </w:p>
    <w:bookmarkEnd w:id="23"/>
    <w:bookmarkStart w:id="24" w:name="purging-and-heating"/>
    <w:p>
      <w:pPr>
        <w:pStyle w:val="Heading3"/>
      </w:pPr>
      <w:r>
        <w:t xml:space="preserve">4.2. Purging and Heating</w:t>
      </w:r>
    </w:p>
    <w:p>
      <w:pPr>
        <w:numPr>
          <w:ilvl w:val="0"/>
          <w:numId w:val="1003"/>
        </w:numPr>
        <w:pStyle w:val="Compact"/>
      </w:pPr>
      <w:r>
        <w:t xml:space="preserve">Purge the system with Nitrogen for 30 minutes to remove all traces of oxygen and moisture from the reactor headspace.</w:t>
      </w:r>
    </w:p>
    <w:p>
      <w:pPr>
        <w:numPr>
          <w:ilvl w:val="0"/>
          <w:numId w:val="1003"/>
        </w:numPr>
        <w:pStyle w:val="Compact"/>
      </w:pPr>
      <w:r>
        <w:t xml:space="preserve">Initiate the heating ramp. Increase the temperature at a rate of 5°C per minute until the target setpoint (e.g., 200°C) is reached.</w:t>
      </w:r>
    </w:p>
    <w:p>
      <w:pPr>
        <w:numPr>
          <w:ilvl w:val="0"/>
          <w:numId w:val="1003"/>
        </w:numPr>
        <w:pStyle w:val="Compact"/>
      </w:pPr>
      <w:r>
        <w:t xml:space="preserve">Maintain the temperature for 1 hour to activate the catalyst and stabilize the thermal profile.</w:t>
      </w:r>
    </w:p>
    <w:bookmarkEnd w:id="24"/>
    <w:bookmarkStart w:id="25" w:name="reaction-phase"/>
    <w:p>
      <w:pPr>
        <w:pStyle w:val="Heading3"/>
      </w:pPr>
      <w:r>
        <w:t xml:space="preserve">4.3. Reaction Phase</w:t>
      </w:r>
    </w:p>
    <w:p>
      <w:pPr>
        <w:numPr>
          <w:ilvl w:val="0"/>
          <w:numId w:val="1004"/>
        </w:numPr>
        <w:pStyle w:val="Compact"/>
      </w:pPr>
      <w:r>
        <w:t xml:space="preserve">Introduce the reactant feed using the syringe pump at a controlled flow rate (e.g., 1 mL/min).</w:t>
      </w:r>
    </w:p>
    <w:p>
      <w:pPr>
        <w:numPr>
          <w:ilvl w:val="0"/>
          <w:numId w:val="1004"/>
        </w:numPr>
        <w:pStyle w:val="Compact"/>
      </w:pPr>
      <w:r>
        <w:t xml:space="preserve">Adjust the Oxygen/Nitrogen ratio using the Mass Flow Controllers to achieve the desired partial pressure.</w:t>
      </w:r>
    </w:p>
    <w:p>
      <w:pPr>
        <w:numPr>
          <w:ilvl w:val="0"/>
          <w:numId w:val="1004"/>
        </w:numPr>
        <w:pStyle w:val="Compact"/>
      </w:pPr>
      <w:r>
        <w:t xml:space="preserve">Allow the system to reach steady-state conditions. This is typically defined as three residence times of the reactor volume.</w:t>
      </w:r>
    </w:p>
    <w:p>
      <w:pPr>
        <w:numPr>
          <w:ilvl w:val="0"/>
          <w:numId w:val="1004"/>
        </w:numPr>
        <w:pStyle w:val="Compact"/>
      </w:pPr>
      <w:r>
        <w:t xml:space="preserve">Collect effluent samples at regular intervals (every 15 minutes) for Gas Chromatography analysis.</w:t>
      </w:r>
    </w:p>
    <w:bookmarkEnd w:id="25"/>
    <w:bookmarkStart w:id="26" w:name="shutdown-procedure"/>
    <w:p>
      <w:pPr>
        <w:pStyle w:val="Heading3"/>
      </w:pPr>
      <w:r>
        <w:t xml:space="preserve">4.4. Shutdown Procedure</w:t>
      </w:r>
    </w:p>
    <w:p>
      <w:pPr>
        <w:numPr>
          <w:ilvl w:val="0"/>
          <w:numId w:val="1005"/>
        </w:numPr>
        <w:pStyle w:val="Compact"/>
      </w:pPr>
      <w:r>
        <w:t xml:space="preserve">Stop the reactant feed and switch the liquid pump to a solvent flush (e.g., methanol) to clear the lines.</w:t>
      </w:r>
    </w:p>
    <w:p>
      <w:pPr>
        <w:numPr>
          <w:ilvl w:val="0"/>
          <w:numId w:val="1005"/>
        </w:numPr>
        <w:pStyle w:val="Compact"/>
      </w:pPr>
      <w:r>
        <w:t xml:space="preserve">Gradually reduce the temperature to below 50°C while maintaining a Nitrogen purge.</w:t>
      </w:r>
    </w:p>
    <w:p>
      <w:pPr>
        <w:numPr>
          <w:ilvl w:val="0"/>
          <w:numId w:val="1005"/>
        </w:numPr>
        <w:pStyle w:val="Compact"/>
      </w:pPr>
      <w:r>
        <w:t xml:space="preserve">Depressurize the reactor slowly to atmospheric pressure.</w:t>
      </w:r>
    </w:p>
    <w:p>
      <w:pPr>
        <w:numPr>
          <w:ilvl w:val="0"/>
          <w:numId w:val="1005"/>
        </w:numPr>
        <w:pStyle w:val="Compact"/>
      </w:pPr>
      <w:r>
        <w:t xml:space="preserve">Open the reactor and recover the spent catalyst for regeneration or disposal according to Barcelona hazardous waste protocols.</w:t>
      </w:r>
    </w:p>
    <w:bookmarkEnd w:id="26"/>
    <w:bookmarkEnd w:id="27"/>
    <w:bookmarkStart w:id="28" w:name="data-analysis-and-reporting"/>
    <w:p>
      <w:pPr>
        <w:pStyle w:val="Heading2"/>
      </w:pPr>
      <w:r>
        <w:t xml:space="preserve">5. Data Analysis and Reporting</w:t>
      </w:r>
    </w:p>
    <w:p>
      <w:pPr>
        <w:pStyle w:val="FirstParagraph"/>
      </w:pPr>
      <w:r>
        <w:t xml:space="preserve">The Chemical Engineer is responsible for analyzing the chromatographic data to calculate conversion rates, selectivity, and yield. The data should be plotted against temperature and space velocity to identify the optimal operating window. Any anomalies, such as unexpected pressure spikes or color changes in the effluent, must be investigated immediately.</w:t>
      </w:r>
    </w:p>
    <w:p>
      <w:pPr>
        <w:pStyle w:val="BodyText"/>
      </w:pPr>
      <w:r>
        <w:t xml:space="preserve">The final report must include a risk assessment update and recommendations for scale-up, considering the industrial context of the chemical sector in Spain Barcelona.</w:t>
      </w:r>
    </w:p>
    <w:bookmarkEnd w:id="28"/>
    <w:bookmarkStart w:id="29" w:name="emergency-procedures"/>
    <w:p>
      <w:pPr>
        <w:pStyle w:val="Heading2"/>
      </w:pPr>
      <w:r>
        <w:t xml:space="preserve">6. Emergency Procedures</w:t>
      </w:r>
    </w:p>
    <w:p>
      <w:pPr>
        <w:pStyle w:val="FirstParagraph"/>
      </w:pPr>
      <w:r>
        <w:t xml:space="preserve">In the event of a leak, fire, or uncontrolled reaction:</w:t>
      </w:r>
    </w:p>
    <w:p>
      <w:pPr>
        <w:numPr>
          <w:ilvl w:val="0"/>
          <w:numId w:val="1006"/>
        </w:numPr>
        <w:pStyle w:val="Compact"/>
      </w:pPr>
      <w:r>
        <w:t xml:space="preserve">Immediately shut off the main gas supply and power to the heating elements.</w:t>
      </w:r>
    </w:p>
    <w:p>
      <w:pPr>
        <w:numPr>
          <w:ilvl w:val="0"/>
          <w:numId w:val="1006"/>
        </w:numPr>
        <w:pStyle w:val="Compact"/>
      </w:pPr>
      <w:r>
        <w:t xml:space="preserve">Activate the emergency shower or eyewash station if exposure occurs.</w:t>
      </w:r>
    </w:p>
    <w:p>
      <w:pPr>
        <w:numPr>
          <w:ilvl w:val="0"/>
          <w:numId w:val="1006"/>
        </w:numPr>
        <w:pStyle w:val="Compact"/>
      </w:pPr>
      <w:r>
        <w:t xml:space="preserve">Evacuate the laboratory and alert the safety officer.</w:t>
      </w:r>
    </w:p>
    <w:p>
      <w:pPr>
        <w:numPr>
          <w:ilvl w:val="0"/>
          <w:numId w:val="1006"/>
        </w:numPr>
        <w:pStyle w:val="Compact"/>
      </w:pPr>
      <w:r>
        <w:t xml:space="preserve">Contact emergency services (112) if the situation is unmanageable.</w:t>
      </w:r>
    </w:p>
    <w:p>
      <w:pPr>
        <w:pStyle w:val="FirstParagraph"/>
      </w:pPr>
      <w:r>
        <w:rPr>
          <w:bCs/>
          <w:b/>
        </w:rPr>
        <w:t xml:space="preserve">Lead Chemical Engineer Signature</w:t>
      </w:r>
      <w:r>
        <w:br/>
      </w:r>
      <w:r>
        <w:t xml:space="preserve">Date: _______________</w:t>
      </w:r>
    </w:p>
    <w:p>
      <w:pPr>
        <w:pStyle w:val="BodyText"/>
      </w:pPr>
      <w:r>
        <w:rPr>
          <w:bCs/>
          <w:b/>
        </w:rPr>
        <w:t xml:space="preserve">Safety Officer Approval</w:t>
      </w:r>
      <w:r>
        <w:br/>
      </w:r>
      <w:r>
        <w:t xml:space="preserve">Date: 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Catalytic Reactor Optimization</dc:title>
  <dc:creator/>
  <dc:language>en</dc:language>
  <cp:keywords/>
  <dcterms:created xsi:type="dcterms:W3CDTF">2026-10-10T03:41:28Z</dcterms:created>
  <dcterms:modified xsi:type="dcterms:W3CDTF">2026-10-10T03:41:28Z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