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Cracking Processes for Petrochemical Refining</w:t>
      </w:r>
    </w:p>
    <w:p>
      <w:pPr>
        <w:pStyle w:val="BodyText"/>
      </w:pPr>
      <w:r>
        <w:rPr>
          <w:bCs/>
          <w:b/>
        </w:rPr>
        <w:t xml:space="preserve">Location:</w:t>
      </w:r>
      <w:r>
        <w:t xml:space="preserve"> </w:t>
      </w:r>
      <w:r>
        <w:t xml:space="preserve">Marmara Research Center, Kocaeli/Istanbul Industrial Zone, Turkey Istanbul</w:t>
      </w:r>
    </w:p>
    <w:p>
      <w:pPr>
        <w:pStyle w:val="BodyText"/>
      </w:pPr>
      <w:r>
        <w:rPr>
          <w:bCs/>
          <w:b/>
        </w:rPr>
        <w:t xml:space="preserve">Lead Investigator:</w:t>
      </w:r>
      <w:r>
        <w:t xml:space="preserve"> </w:t>
      </w:r>
      <w:r>
        <w:t xml:space="preserve">Senior Chemical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catalytic cracking experiments within the petrochemical sector. As a Chemical Engineer operating in the industrial hub of Turkey Istanbul, the primary objective is to evaluate the efficiency of novel zeolite-based catalysts in converting heavy crude oil fractions into high-value light olefins. Given Turkey's strategic position as a global energy corridor and the specific regulatory environment of Istanbul, this protocol ensures compliance with both international engineering standards and local Turkish industrial safety regulations.</w:t>
      </w:r>
    </w:p>
    <w:p>
      <w:pPr>
        <w:pStyle w:val="BodyText"/>
      </w:pPr>
      <w:r>
        <w:t xml:space="preserve">The experiment aims to determine the optimal temperature, pressure, and catalyst-to-oil ratio to maximize yield while minimizing environmental impact, adhering to the strict environmental codes enforced in the Istanbul metropolitan area.</w:t>
      </w:r>
    </w:p>
    <w:bookmarkEnd w:id="21"/>
    <w:bookmarkStart w:id="22" w:name="scope-and-applicability"/>
    <w:p>
      <w:pPr>
        <w:pStyle w:val="Heading2"/>
      </w:pPr>
      <w:r>
        <w:t xml:space="preserve">2. Scope and Applicability</w:t>
      </w:r>
    </w:p>
    <w:p>
      <w:pPr>
        <w:pStyle w:val="FirstParagraph"/>
      </w:pPr>
      <w:r>
        <w:t xml:space="preserve">This protocol applies to all laboratory and pilot-scale operations conducted by the Chemical Engineer team at the Istanbul facility. It covers the preparation of feedstock, reactor operation, product separation, and waste management. The procedures are designed to be robust enough for the specific climatic and logistical conditions found in Turkey Istanbul, ensuring reproducibility and safety.</w:t>
      </w:r>
    </w:p>
    <w:bookmarkEnd w:id="22"/>
    <w:bookmarkStart w:id="23" w:name="safety-and-regulatory-compliance"/>
    <w:p>
      <w:pPr>
        <w:pStyle w:val="Heading2"/>
      </w:pPr>
      <w:r>
        <w:t xml:space="preserve">3. Safety and Regulatory Compliance</w:t>
      </w:r>
    </w:p>
    <w:p>
      <w:pPr>
        <w:pStyle w:val="FirstParagraph"/>
      </w:pPr>
      <w:r>
        <w:t xml:space="preserve">Safety is the paramount concern for any Chemical Engineer. Operations in Turkey Istanbul must strictly adhere to the Turkish Occupational Health and Safety Law (Law No. 6331) and the regulations set forth by the Ministry of Environment, Urbanization and Climate Change.</w:t>
      </w:r>
    </w:p>
    <w:p>
      <w:pPr>
        <w:numPr>
          <w:ilvl w:val="0"/>
          <w:numId w:val="1001"/>
        </w:numPr>
        <w:pStyle w:val="Compact"/>
      </w:pPr>
      <w:r>
        <w:rPr>
          <w:bCs/>
          <w:b/>
        </w:rPr>
        <w:t xml:space="preserve">Personal Protective Equipment (PPE):</w:t>
      </w:r>
      <w:r>
        <w:t xml:space="preserve"> </w:t>
      </w:r>
      <w:r>
        <w:t xml:space="preserve">All personnel must wear flame-resistant lab coats, safety goggles, chemical-resistant gloves, and steel-toed boots.</w:t>
      </w:r>
    </w:p>
    <w:p>
      <w:pPr>
        <w:numPr>
          <w:ilvl w:val="0"/>
          <w:numId w:val="1001"/>
        </w:numPr>
        <w:pStyle w:val="Compact"/>
      </w:pPr>
      <w:r>
        <w:rPr>
          <w:bCs/>
          <w:b/>
        </w:rPr>
        <w:t xml:space="preserve">Emergency Procedures:</w:t>
      </w:r>
      <w:r>
        <w:t xml:space="preserve"> </w:t>
      </w:r>
      <w:r>
        <w:t xml:space="preserve">In the event of a spill or fire, the emergency response team must be contacted immediately via the facility's internal line. Evacuation routes specific to the Istanbul site must be memorized by all staff.</w:t>
      </w:r>
    </w:p>
    <w:p>
      <w:pPr>
        <w:numPr>
          <w:ilvl w:val="0"/>
          <w:numId w:val="1001"/>
        </w:numPr>
        <w:pStyle w:val="Compact"/>
      </w:pPr>
      <w:r>
        <w:rPr>
          <w:bCs/>
          <w:b/>
        </w:rPr>
        <w:t xml:space="preserve">Chemical Handling:</w:t>
      </w:r>
      <w:r>
        <w:t xml:space="preserve"> </w:t>
      </w:r>
      <w:r>
        <w:t xml:space="preserve">All hazardous materials must be stored in accordance with Turkish chemical storage regulations. Material Safety Data Sheets (MSDS) must be available in both English and Turkish.</w:t>
      </w:r>
    </w:p>
    <w:p>
      <w:pPr>
        <w:pStyle w:val="FirstParagraph"/>
      </w:pPr>
      <w:r>
        <w:rPr>
          <w:bCs/>
          <w:b/>
        </w:rPr>
        <w:t xml:space="preserve">Note:</w:t>
      </w:r>
      <w:r>
        <w:t xml:space="preserve"> </w:t>
      </w:r>
      <w:r>
        <w:t xml:space="preserve">Due to the high population density of Istanbul, any potential release of volatile organic compounds (VOCs) must be contained immediately to prevent public health hazards.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 All equipment must be calibrated and certified according to Turkish Metrology Institute (TÜBİTAK UME)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316L, Max Temp: 600°C</w:t>
            </w:r>
          </w:p>
        </w:tc>
        <w:tc>
          <w:tcPr/>
          <w:p>
            <w:pPr>
              <w:pStyle w:val="Compact"/>
              <w:jc w:val="left"/>
            </w:pPr>
            <w:r>
              <w:t xml:space="preserve">1</w:t>
            </w:r>
          </w:p>
        </w:tc>
      </w:tr>
      <w:tr>
        <w:tc>
          <w:tcPr/>
          <w:p>
            <w:pPr>
              <w:pStyle w:val="Compact"/>
              <w:jc w:val="left"/>
            </w:pPr>
            <w:r>
              <w:t xml:space="preserve">Zeolite Catalyst</w:t>
            </w:r>
          </w:p>
        </w:tc>
        <w:tc>
          <w:tcPr/>
          <w:p>
            <w:pPr>
              <w:pStyle w:val="Compact"/>
              <w:jc w:val="left"/>
            </w:pPr>
            <w:r>
              <w:t xml:space="preserve">Y-Type, Sulfated, 50g</w:t>
            </w:r>
          </w:p>
        </w:tc>
        <w:tc>
          <w:tcPr/>
          <w:p>
            <w:pPr>
              <w:pStyle w:val="Compact"/>
              <w:jc w:val="left"/>
            </w:pPr>
            <w:r>
              <w:t xml:space="preserve">3 batches</w:t>
            </w:r>
          </w:p>
        </w:tc>
      </w:tr>
      <w:tr>
        <w:tc>
          <w:tcPr/>
          <w:p>
            <w:pPr>
              <w:pStyle w:val="Compact"/>
              <w:jc w:val="left"/>
            </w:pPr>
            <w:r>
              <w:t xml:space="preserve">Heavy Crude Oil Feedstock</w:t>
            </w:r>
          </w:p>
        </w:tc>
        <w:tc>
          <w:tcPr/>
          <w:p>
            <w:pPr>
              <w:pStyle w:val="Compact"/>
              <w:jc w:val="left"/>
            </w:pPr>
            <w:r>
              <w:t xml:space="preserve">Local Turkish Crude, API Gravity: 25</w:t>
            </w:r>
          </w:p>
        </w:tc>
        <w:tc>
          <w:tcPr/>
          <w:p>
            <w:pPr>
              <w:pStyle w:val="Compact"/>
              <w:jc w:val="left"/>
            </w:pPr>
            <w:r>
              <w:t xml:space="preserve">5 Liters</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w:t>
            </w:r>
          </w:p>
        </w:tc>
      </w:tr>
      <w:tr>
        <w:tc>
          <w:tcPr/>
          <w:p>
            <w:pPr>
              <w:pStyle w:val="Compact"/>
              <w:jc w:val="left"/>
            </w:pPr>
            <w:r>
              <w:t xml:space="preserve">Pressure Transducers</w:t>
            </w:r>
          </w:p>
        </w:tc>
        <w:tc>
          <w:tcPr/>
          <w:p>
            <w:pPr>
              <w:pStyle w:val="Compact"/>
              <w:jc w:val="left"/>
            </w:pPr>
            <w:r>
              <w:t xml:space="preserve">0-10 bar range</w:t>
            </w:r>
          </w:p>
        </w:tc>
        <w:tc>
          <w:tcPr/>
          <w:p>
            <w:pPr>
              <w:pStyle w:val="Compact"/>
              <w:jc w:val="left"/>
            </w:pPr>
            <w:r>
              <w:t xml:space="preserve">2</w:t>
            </w:r>
          </w:p>
        </w:tc>
      </w:tr>
    </w:tbl>
    <w:bookmarkEnd w:id="24"/>
    <w:bookmarkStart w:id="29" w:name="experimental-procedure"/>
    <w:p>
      <w:pPr>
        <w:pStyle w:val="Heading2"/>
      </w:pPr>
      <w:r>
        <w:t xml:space="preserve">5. Experimental Procedure</w:t>
      </w:r>
    </w:p>
    <w:p>
      <w:pPr>
        <w:pStyle w:val="FirstParagraph"/>
      </w:pPr>
      <w:r>
        <w:t xml:space="preserve">The Chemical Engineer must follow these steps precisely to ensure data integrity and safety.</w:t>
      </w:r>
    </w:p>
    <w:bookmarkStart w:id="25" w:name="preparation"/>
    <w:p>
      <w:pPr>
        <w:pStyle w:val="Heading3"/>
      </w:pPr>
      <w:r>
        <w:t xml:space="preserve">5.1. Preparation</w:t>
      </w:r>
    </w:p>
    <w:p>
      <w:pPr>
        <w:pStyle w:val="FirstParagraph"/>
      </w:pPr>
      <w:r>
        <w:t xml:space="preserve">Begin by inspecting the reactor system for leaks. Ensure all valves are in the correct position. Load the zeolite catalyst into the reactor bed, ensuring uniform distribution to prevent channeling. Preheat the reactor to 450°C under a nitrogen purge to remove any moisture or contaminants.</w:t>
      </w:r>
    </w:p>
    <w:bookmarkEnd w:id="25"/>
    <w:bookmarkStart w:id="26" w:name="operation"/>
    <w:p>
      <w:pPr>
        <w:pStyle w:val="Heading3"/>
      </w:pPr>
      <w:r>
        <w:t xml:space="preserve">5.2. Operation</w:t>
      </w:r>
    </w:p>
    <w:p>
      <w:pPr>
        <w:pStyle w:val="FirstParagraph"/>
      </w:pPr>
      <w:r>
        <w:t xml:space="preserve">Introduce the heavy crude oil feedstock at a controlled rate of 5 mL/min. Gradually increase the reactor temperature to the target range of 500°C to 550°C. Monitor the pressure drop across the catalyst bed continuously. Maintain the system at steady-state conditions for a minimum of 2 hours to ensure accurate data collection.</w:t>
      </w:r>
    </w:p>
    <w:bookmarkEnd w:id="26"/>
    <w:bookmarkStart w:id="27" w:name="sampling-and-analysis"/>
    <w:p>
      <w:pPr>
        <w:pStyle w:val="Heading3"/>
      </w:pPr>
      <w:r>
        <w:t xml:space="preserve">5.3. Sampling and Analysis</w:t>
      </w:r>
    </w:p>
    <w:p>
      <w:pPr>
        <w:pStyle w:val="FirstParagraph"/>
      </w:pPr>
      <w:r>
        <w:t xml:space="preserve">Collect liquid and gaseous product samples at 30-minute intervals. Use the Gas Chromatograph to analyze the composition of the products, focusing on the yield of ethylene, propylene, and butenes. Record all data in the laboratory notebook, noting any deviations from the expected parameters.</w:t>
      </w:r>
    </w:p>
    <w:bookmarkEnd w:id="27"/>
    <w:bookmarkStart w:id="28" w:name="shutdown"/>
    <w:p>
      <w:pPr>
        <w:pStyle w:val="Heading3"/>
      </w:pPr>
      <w:r>
        <w:t xml:space="preserve">5.4. Shutdown</w:t>
      </w:r>
    </w:p>
    <w:p>
      <w:pPr>
        <w:pStyle w:val="FirstParagraph"/>
      </w:pPr>
      <w:r>
        <w:t xml:space="preserve">After the experiment, stop the feedstock flow and purge the reactor with nitrogen. Allow the system to cool down to room temperature before opening. Dispose of spent catalyst and waste products according to the hazardous waste management protocols of the Istanbul municipality.</w:t>
      </w:r>
    </w:p>
    <w:bookmarkEnd w:id="28"/>
    <w:bookmarkEnd w:id="29"/>
    <w:bookmarkStart w:id="30" w:name="data-analysis-and-reporting"/>
    <w:p>
      <w:pPr>
        <w:pStyle w:val="Heading2"/>
      </w:pPr>
      <w:r>
        <w:t xml:space="preserve">6. Data Analysis and Reporting</w:t>
      </w:r>
    </w:p>
    <w:p>
      <w:pPr>
        <w:pStyle w:val="FirstParagraph"/>
      </w:pPr>
      <w:r>
        <w:t xml:space="preserve">The Chemical Engineer is responsible for analyzing the collected data to determine the conversion rate and selectivity of the catalyst. Statistical methods should be employed to assess the significance of the results. A comprehensive report must be prepared, detailing the experimental conditions, results, and conclusions. This report will be submitted to the project management team and, if necessary, to regulatory bodies in Turkey Istanbul.</w:t>
      </w:r>
    </w:p>
    <w:bookmarkEnd w:id="30"/>
    <w:bookmarkStart w:id="31" w:name="conclusion"/>
    <w:p>
      <w:pPr>
        <w:pStyle w:val="Heading2"/>
      </w:pPr>
      <w:r>
        <w:t xml:space="preserve">7. Conclusion</w:t>
      </w:r>
    </w:p>
    <w:p>
      <w:pPr>
        <w:pStyle w:val="FirstParagraph"/>
      </w:pPr>
      <w:r>
        <w:t xml:space="preserve">This Experiment Protocol provides a clear and structured approach for conducting catalytic cracking experiments. By adhering to these guidelines, the Chemical Engineer ensures the safety of personnel, the integrity of the data, and compliance with the regulatory framework of Turkey Istanbul. The successful execution of this protocol will contribute to the advancement of petrochemical processing technologies in the region.</w:t>
      </w:r>
    </w:p>
    <w:bookmarkEnd w:id="31"/>
    <w:bookmarkStart w:id="32" w:name="signatures"/>
    <w:p>
      <w:pPr>
        <w:pStyle w:val="Heading2"/>
      </w:pPr>
      <w:r>
        <w:t xml:space="preserve">8. Signatures</w:t>
      </w:r>
    </w:p>
    <w:p>
      <w:pPr>
        <w:pStyle w:val="FirstParagraph"/>
      </w:pPr>
      <w:r>
        <w:rPr>
          <w:bCs/>
          <w:b/>
        </w:rPr>
        <w:t xml:space="preserve">Lead Chemical Engineer:</w:t>
      </w:r>
      <w:r>
        <w:t xml:space="preserve"> </w:t>
      </w:r>
      <w:r>
        <w:t xml:space="preserve">_________________________</w:t>
      </w:r>
      <w:r>
        <w:t xml:space="preserve"> </w:t>
      </w:r>
      <w:r>
        <w:rPr>
          <w:bCs/>
          <w:b/>
        </w:rPr>
        <w:t xml:space="preserve">Date:</w:t>
      </w:r>
      <w:r>
        <w:t xml:space="preserve"> </w:t>
      </w:r>
      <w:r>
        <w:t xml:space="preserve">_______________</w:t>
      </w:r>
    </w:p>
    <w:p>
      <w:pPr>
        <w:pStyle w:val="BodyText"/>
      </w:pPr>
      <w:r>
        <w:rPr>
          <w:bCs/>
          <w:b/>
        </w:rPr>
        <w:t xml:space="preserve">Safety Officer:</w:t>
      </w:r>
      <w:r>
        <w:t xml:space="preserve"> </w:t>
      </w:r>
      <w:r>
        <w:t xml:space="preserve">_________________________</w:t>
      </w:r>
      <w:r>
        <w:t xml:space="preserve"> </w:t>
      </w:r>
      <w:r>
        <w:rPr>
          <w:bCs/>
          <w:b/>
        </w:rPr>
        <w:t xml:space="preserve">Date:</w:t>
      </w:r>
      <w:r>
        <w:t xml:space="preserve"> </w:t>
      </w:r>
      <w:r>
        <w:t xml:space="preserve">_______________</w:t>
      </w:r>
    </w:p>
    <w:p>
      <w:pPr>
        <w:pStyle w:val="BodyText"/>
      </w:pPr>
      <w:r>
        <w:rPr>
          <w:bCs/>
          <w:b/>
        </w:rPr>
        <w:t xml:space="preserve">Facility Manager:</w:t>
      </w:r>
      <w:r>
        <w:t xml:space="preserve"> </w:t>
      </w:r>
      <w:r>
        <w:t xml:space="preserve">_________________________</w:t>
      </w:r>
      <w:r>
        <w:t xml:space="preserve"> </w:t>
      </w:r>
      <w:r>
        <w:rPr>
          <w:bCs/>
          <w:b/>
        </w:rPr>
        <w:t xml:space="preserve">Date:</w:t>
      </w:r>
      <w:r>
        <w:t xml:space="preserve"> </w:t>
      </w:r>
      <w:r>
        <w:t xml:space="preserve">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Turkey Istanbul</dc:title>
  <dc:creator/>
  <dc:language>en</dc:language>
  <cp:keywords/>
  <dcterms:created xsi:type="dcterms:W3CDTF">2026-10-10T02:54:08Z</dcterms:created>
  <dcterms:modified xsi:type="dcterms:W3CDTF">2026-10-10T02:54:08Z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