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Abu</w:t>
      </w:r>
      <w:r>
        <w:t xml:space="preserve"> </w:t>
      </w:r>
      <w:r>
        <w:t xml:space="preserve">Dhabi</w:t>
      </w:r>
    </w:p>
    <w:bookmarkStart w:id="20" w:name="Xcc95bc505dba7285cbe69757eacee08fb505334"/>
    <w:p>
      <w:pPr>
        <w:pStyle w:val="Heading1"/>
      </w:pPr>
      <w:r>
        <w:t xml:space="preserve">Experiment Protocol: Advanced Chemical Process Optimization</w:t>
      </w:r>
    </w:p>
    <w:p>
      <w:pPr>
        <w:pStyle w:val="FirstParagraph"/>
      </w:pPr>
      <w:r>
        <w:rPr>
          <w:bCs/>
          <w:b/>
        </w:rPr>
        <w:t xml:space="preserve">Location:</w:t>
      </w:r>
      <w:r>
        <w:t xml:space="preserve"> </w:t>
      </w:r>
      <w:r>
        <w:t xml:space="preserve">Industrial Research Facility, Abu Dhabi, United Arab Emirates</w:t>
      </w:r>
    </w:p>
    <w:p>
      <w:pPr>
        <w:pStyle w:val="BodyText"/>
      </w:pPr>
      <w:r>
        <w:rPr>
          <w:bCs/>
          <w:b/>
        </w:rPr>
        <w:t xml:space="preserve">Prepared By:</w:t>
      </w:r>
      <w:r>
        <w:t xml:space="preserve"> </w:t>
      </w:r>
      <w:r>
        <w:t xml:space="preserve">Senior Chemical Engineer</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UAE-AD-CE-2023-001</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chemical process optimization experiments within the industrial facilities of Abu Dhabi, United Arab Emirates. The primary objective is to enhance the efficiency of catalytic reactions used in petrochemical processing while adhering to the stringent environmental and safety regulations enforced by the Abu Dhabi Department of Energy (DOE) and the Environment Agency – Abu Dhabi (EAD).</w:t>
      </w:r>
    </w:p>
    <w:p>
      <w:pPr>
        <w:pStyle w:val="BodyText"/>
      </w:pPr>
      <w:r>
        <w:t xml:space="preserve">As a Chemical Engineer operating in this region, it is imperative to balance technological innovation with the preservation of the local ecosystem. This protocol ensures that all experimental activities are conducted with precision, safety, and regulatory compliance.</w:t>
      </w:r>
    </w:p>
    <w:bookmarkEnd w:id="21"/>
    <w:bookmarkStart w:id="22" w:name="scope-and-applicability"/>
    <w:p>
      <w:pPr>
        <w:pStyle w:val="Heading2"/>
      </w:pPr>
      <w:r>
        <w:t xml:space="preserve">2. Scope and Applicability</w:t>
      </w:r>
    </w:p>
    <w:p>
      <w:pPr>
        <w:pStyle w:val="FirstParagraph"/>
      </w:pPr>
      <w:r>
        <w:t xml:space="preserve">This protocol applies to all Chemical Engineers, laboratory technicians, and support staff involved in experimental work at the Abu Dhabi facility. It covers the preparation, execution, monitoring, and post-experiment analysis phases. The procedures are designed to be scalable for both pilot plant operations and full-scale industrial applications.</w:t>
      </w:r>
    </w:p>
    <w:bookmarkEnd w:id="22"/>
    <w:bookmarkStart w:id="23" w:name="safety-and-regulatory-compliance"/>
    <w:p>
      <w:pPr>
        <w:pStyle w:val="Heading2"/>
      </w:pPr>
      <w:r>
        <w:t xml:space="preserve">3. Safety and Regulatory Compliance</w:t>
      </w:r>
    </w:p>
    <w:p>
      <w:pPr>
        <w:pStyle w:val="FirstParagraph"/>
      </w:pPr>
      <w:r>
        <w:t xml:space="preserve">Safety is the cornerstone of this Experiment Protocol. All personnel must comply with the following:</w:t>
      </w:r>
    </w:p>
    <w:p>
      <w:pPr>
        <w:numPr>
          <w:ilvl w:val="0"/>
          <w:numId w:val="1001"/>
        </w:numPr>
        <w:pStyle w:val="Compact"/>
      </w:pPr>
      <w:r>
        <w:rPr>
          <w:bCs/>
          <w:b/>
        </w:rPr>
        <w:t xml:space="preserve">Personal Protective Equipment (PPE):</w:t>
      </w:r>
      <w:r>
        <w:t xml:space="preserve"> </w:t>
      </w:r>
      <w:r>
        <w:t xml:space="preserve">Mandatory use of heat-resistant gloves, safety goggles, lab coats, and steel-toed boots. In high-temperature zones, additional thermal protection is required.</w:t>
      </w:r>
    </w:p>
    <w:p>
      <w:pPr>
        <w:numPr>
          <w:ilvl w:val="0"/>
          <w:numId w:val="1001"/>
        </w:numPr>
        <w:pStyle w:val="Compact"/>
      </w:pPr>
      <w:r>
        <w:rPr>
          <w:bCs/>
          <w:b/>
        </w:rPr>
        <w:t xml:space="preserve">Environmental Regulations:</w:t>
      </w:r>
      <w:r>
        <w:t xml:space="preserve"> </w:t>
      </w:r>
      <w:r>
        <w:t xml:space="preserve">Adherence to EAD guidelines for waste disposal and emissions control. Any release of hazardous substances must be reported immediately.</w:t>
      </w:r>
    </w:p>
    <w:p>
      <w:pPr>
        <w:numPr>
          <w:ilvl w:val="0"/>
          <w:numId w:val="1001"/>
        </w:numPr>
        <w:pStyle w:val="Compact"/>
      </w:pPr>
      <w:r>
        <w:rPr>
          <w:bCs/>
          <w:b/>
        </w:rPr>
        <w:t xml:space="preserve">Emergency Procedures:</w:t>
      </w:r>
      <w:r>
        <w:t xml:space="preserve"> </w:t>
      </w:r>
      <w:r>
        <w:t xml:space="preserve">Familiarity with evacuation routes, emergency showers, and eyewash stations. Regular drills are conducted to ensure preparedness.</w:t>
      </w:r>
    </w:p>
    <w:p>
      <w:pPr>
        <w:pStyle w:val="FirstParagraph"/>
      </w:pPr>
      <w:r>
        <w:rPr>
          <w:bCs/>
          <w:b/>
        </w:rPr>
        <w:t xml:space="preserve">Warning:</w:t>
      </w:r>
      <w:r>
        <w:t xml:space="preserve"> </w:t>
      </w:r>
      <w:r>
        <w:t xml:space="preserve">Failure to comply with safety protocols may result in immediate suspension of experimental activities and disciplinary action.</w:t>
      </w:r>
    </w:p>
    <w:bookmarkEnd w:id="23"/>
    <w:bookmarkStart w:id="24" w:name="experimental-setup"/>
    <w:p>
      <w:pPr>
        <w:pStyle w:val="Heading2"/>
      </w:pPr>
      <w:r>
        <w:t xml:space="preserve">4. Experimental Setup</w:t>
      </w:r>
    </w:p>
    <w:p>
      <w:pPr>
        <w:pStyle w:val="FirstParagraph"/>
      </w:pPr>
      <w:r>
        <w:t xml:space="preserve">The experimental setup involves a continuous flow reactor system designed to test new catalyst formulations under controlled conditions. The following components are essential:</w:t>
      </w:r>
    </w:p>
    <w:p>
      <w:pPr>
        <w:numPr>
          <w:ilvl w:val="0"/>
          <w:numId w:val="1002"/>
        </w:numPr>
        <w:pStyle w:val="Compact"/>
      </w:pPr>
      <w:r>
        <w:rPr>
          <w:bCs/>
          <w:b/>
        </w:rPr>
        <w:t xml:space="preserve">Reactor Vessel:</w:t>
      </w:r>
      <w:r>
        <w:t xml:space="preserve"> </w:t>
      </w:r>
      <w:r>
        <w:t xml:space="preserve">Stainless steel reactor capable of withstanding temperatures up to 500°C and pressures up to 50 bar.</w:t>
      </w:r>
    </w:p>
    <w:p>
      <w:pPr>
        <w:numPr>
          <w:ilvl w:val="0"/>
          <w:numId w:val="1002"/>
        </w:numPr>
        <w:pStyle w:val="Compact"/>
      </w:pPr>
      <w:r>
        <w:rPr>
          <w:bCs/>
          <w:b/>
        </w:rPr>
        <w:t xml:space="preserve">Feed System:</w:t>
      </w:r>
      <w:r>
        <w:t xml:space="preserve"> </w:t>
      </w:r>
      <w:r>
        <w:t xml:space="preserve">Automated pumps for precise delivery of reactants.</w:t>
      </w:r>
    </w:p>
    <w:p>
      <w:pPr>
        <w:numPr>
          <w:ilvl w:val="0"/>
          <w:numId w:val="1002"/>
        </w:numPr>
        <w:pStyle w:val="Compact"/>
      </w:pPr>
      <w:r>
        <w:rPr>
          <w:bCs/>
          <w:b/>
        </w:rPr>
        <w:t xml:space="preserve">Temperature Control:</w:t>
      </w:r>
      <w:r>
        <w:t xml:space="preserve"> </w:t>
      </w:r>
      <w:r>
        <w:t xml:space="preserve">Electric heaters and cooling jackets for maintaining optimal reaction conditions.</w:t>
      </w:r>
    </w:p>
    <w:p>
      <w:pPr>
        <w:numPr>
          <w:ilvl w:val="0"/>
          <w:numId w:val="1002"/>
        </w:numPr>
        <w:pStyle w:val="Compact"/>
      </w:pPr>
      <w:r>
        <w:rPr>
          <w:bCs/>
          <w:b/>
        </w:rPr>
        <w:t xml:space="preserve">Monitoring Instruments:</w:t>
      </w:r>
      <w:r>
        <w:t xml:space="preserve"> </w:t>
      </w:r>
      <w:r>
        <w:t xml:space="preserve">Sensors for real-time measurement of temperature, pressure, flow rate, and product composition.</w:t>
      </w:r>
    </w:p>
    <w:bookmarkEnd w:id="24"/>
    <w:bookmarkStart w:id="28" w:name="procedure"/>
    <w:p>
      <w:pPr>
        <w:pStyle w:val="Heading2"/>
      </w:pPr>
      <w:r>
        <w:t xml:space="preserve">5. Procedure</w:t>
      </w:r>
    </w:p>
    <w:bookmarkStart w:id="25" w:name="pre-experiment-preparation"/>
    <w:p>
      <w:pPr>
        <w:pStyle w:val="Heading3"/>
      </w:pPr>
      <w:r>
        <w:t xml:space="preserve">5.1 Pre-Experiment Preparation</w:t>
      </w:r>
    </w:p>
    <w:p>
      <w:pPr>
        <w:numPr>
          <w:ilvl w:val="0"/>
          <w:numId w:val="1003"/>
        </w:numPr>
        <w:pStyle w:val="Compact"/>
      </w:pPr>
      <w:r>
        <w:t xml:space="preserve">Inspect all equipment for signs of wear or damage.</w:t>
      </w:r>
    </w:p>
    <w:p>
      <w:pPr>
        <w:numPr>
          <w:ilvl w:val="0"/>
          <w:numId w:val="1003"/>
        </w:numPr>
        <w:pStyle w:val="Compact"/>
      </w:pPr>
      <w:r>
        <w:t xml:space="preserve">Calibrate sensors and instruments according to manufacturer specifications.</w:t>
      </w:r>
    </w:p>
    <w:p>
      <w:pPr>
        <w:numPr>
          <w:ilvl w:val="0"/>
          <w:numId w:val="1003"/>
        </w:numPr>
        <w:pStyle w:val="Compact"/>
      </w:pPr>
      <w:r>
        <w:t xml:space="preserve">Prepare reactant solutions and verify their purity levels.</w:t>
      </w:r>
    </w:p>
    <w:p>
      <w:pPr>
        <w:numPr>
          <w:ilvl w:val="0"/>
          <w:numId w:val="1003"/>
        </w:numPr>
        <w:pStyle w:val="Compact"/>
      </w:pPr>
      <w:r>
        <w:t xml:space="preserve">Ensure all safety systems are operational and emergency contacts are available.</w:t>
      </w:r>
    </w:p>
    <w:bookmarkEnd w:id="25"/>
    <w:bookmarkStart w:id="26" w:name="experiment-execution"/>
    <w:p>
      <w:pPr>
        <w:pStyle w:val="Heading3"/>
      </w:pPr>
      <w:r>
        <w:t xml:space="preserve">5.2 Experiment Execution</w:t>
      </w:r>
    </w:p>
    <w:p>
      <w:pPr>
        <w:numPr>
          <w:ilvl w:val="0"/>
          <w:numId w:val="1004"/>
        </w:numPr>
        <w:pStyle w:val="Compact"/>
      </w:pPr>
      <w:r>
        <w:t xml:space="preserve">Start the feed system and gradually increase the flow rate to the desired level.</w:t>
      </w:r>
    </w:p>
    <w:p>
      <w:pPr>
        <w:numPr>
          <w:ilvl w:val="0"/>
          <w:numId w:val="1004"/>
        </w:numPr>
        <w:pStyle w:val="Compact"/>
      </w:pPr>
      <w:r>
        <w:t xml:space="preserve">Activate the heating system and raise the reactor temperature to the target setpoint.</w:t>
      </w:r>
    </w:p>
    <w:p>
      <w:pPr>
        <w:numPr>
          <w:ilvl w:val="0"/>
          <w:numId w:val="1004"/>
        </w:numPr>
        <w:pStyle w:val="Compact"/>
      </w:pPr>
      <w:r>
        <w:t xml:space="preserve">Monitor the reaction parameters continuously and record data at regular intervals.</w:t>
      </w:r>
    </w:p>
    <w:p>
      <w:pPr>
        <w:numPr>
          <w:ilvl w:val="0"/>
          <w:numId w:val="1004"/>
        </w:numPr>
        <w:pStyle w:val="Compact"/>
      </w:pPr>
      <w:r>
        <w:t xml:space="preserve">Adjust conditions as necessary to maintain stability and optimize performance.</w:t>
      </w:r>
    </w:p>
    <w:bookmarkEnd w:id="26"/>
    <w:bookmarkStart w:id="27" w:name="post-experiment-analysis"/>
    <w:p>
      <w:pPr>
        <w:pStyle w:val="Heading3"/>
      </w:pPr>
      <w:r>
        <w:t xml:space="preserve">5.3 Post-Experiment Analysis</w:t>
      </w:r>
    </w:p>
    <w:p>
      <w:pPr>
        <w:numPr>
          <w:ilvl w:val="0"/>
          <w:numId w:val="1005"/>
        </w:numPr>
        <w:pStyle w:val="Compact"/>
      </w:pPr>
      <w:r>
        <w:t xml:space="preserve">Gradually reduce the temperature and pressure to safe levels.</w:t>
      </w:r>
    </w:p>
    <w:p>
      <w:pPr>
        <w:numPr>
          <w:ilvl w:val="0"/>
          <w:numId w:val="1005"/>
        </w:numPr>
        <w:pStyle w:val="Compact"/>
      </w:pPr>
      <w:r>
        <w:t xml:space="preserve">Shut down the feed system and flush the reactor with an inert gas.</w:t>
      </w:r>
    </w:p>
    <w:p>
      <w:pPr>
        <w:numPr>
          <w:ilvl w:val="0"/>
          <w:numId w:val="1005"/>
        </w:numPr>
        <w:pStyle w:val="Compact"/>
      </w:pPr>
      <w:r>
        <w:t xml:space="preserve">Collect product samples for laboratory analysis.</w:t>
      </w:r>
    </w:p>
    <w:p>
      <w:pPr>
        <w:numPr>
          <w:ilvl w:val="0"/>
          <w:numId w:val="1005"/>
        </w:numPr>
        <w:pStyle w:val="Compact"/>
      </w:pPr>
      <w:r>
        <w:t xml:space="preserve">Document all observations, data, and any deviations from the planned procedure.</w:t>
      </w:r>
    </w:p>
    <w:bookmarkEnd w:id="27"/>
    <w:bookmarkEnd w:id="28"/>
    <w:bookmarkStart w:id="29" w:name="data-collection-and-reporting"/>
    <w:p>
      <w:pPr>
        <w:pStyle w:val="Heading2"/>
      </w:pPr>
      <w:r>
        <w:t xml:space="preserve">6. Data Collection and Reporting</w:t>
      </w:r>
    </w:p>
    <w:p>
      <w:pPr>
        <w:pStyle w:val="FirstParagraph"/>
      </w:pPr>
      <w:r>
        <w:t xml:space="preserve">Accurate data collection is critical for the success of this Experiment Protocol. All data must be recorded in the designated electronic logbook and backed up securely. The following parameters should be monitored: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Unit</w:t>
            </w:r>
          </w:p>
        </w:tc>
        <w:tc>
          <w:tcPr/>
          <w:p>
            <w:pPr>
              <w:pStyle w:val="Compact"/>
              <w:jc w:val="left"/>
            </w:pPr>
            <w:r>
              <w:t xml:space="preserve">Frequency</w:t>
            </w:r>
          </w:p>
        </w:tc>
      </w:tr>
      <w:tr>
        <w:tc>
          <w:tcPr/>
          <w:p>
            <w:pPr>
              <w:pStyle w:val="Compact"/>
              <w:jc w:val="left"/>
            </w:pPr>
            <w:r>
              <w:t xml:space="preserve">Temperature</w:t>
            </w:r>
          </w:p>
        </w:tc>
        <w:tc>
          <w:tcPr/>
          <w:p>
            <w:pPr>
              <w:pStyle w:val="Compact"/>
              <w:jc w:val="left"/>
            </w:pPr>
            <w:r>
              <w:t xml:space="preserve">°C</w:t>
            </w:r>
          </w:p>
        </w:tc>
        <w:tc>
          <w:tcPr/>
          <w:p>
            <w:pPr>
              <w:pStyle w:val="Compact"/>
              <w:jc w:val="left"/>
            </w:pPr>
            <w:r>
              <w:t xml:space="preserve">Every 5 minutes</w:t>
            </w:r>
          </w:p>
        </w:tc>
      </w:tr>
      <w:tr>
        <w:tc>
          <w:tcPr/>
          <w:p>
            <w:pPr>
              <w:pStyle w:val="Compact"/>
              <w:jc w:val="left"/>
            </w:pPr>
            <w:r>
              <w:t xml:space="preserve">Pressure</w:t>
            </w:r>
          </w:p>
        </w:tc>
        <w:tc>
          <w:tcPr/>
          <w:p>
            <w:pPr>
              <w:pStyle w:val="Compact"/>
              <w:jc w:val="left"/>
            </w:pPr>
            <w:r>
              <w:t xml:space="preserve">bar</w:t>
            </w:r>
          </w:p>
        </w:tc>
        <w:tc>
          <w:tcPr/>
          <w:p>
            <w:pPr>
              <w:pStyle w:val="Compact"/>
              <w:jc w:val="left"/>
            </w:pPr>
            <w:r>
              <w:t xml:space="preserve">Every 5 minutes</w:t>
            </w:r>
          </w:p>
        </w:tc>
      </w:tr>
      <w:tr>
        <w:tc>
          <w:tcPr/>
          <w:p>
            <w:pPr>
              <w:pStyle w:val="Compact"/>
              <w:jc w:val="left"/>
            </w:pPr>
            <w:r>
              <w:t xml:space="preserve">Flow Rate</w:t>
            </w:r>
          </w:p>
        </w:tc>
        <w:tc>
          <w:tcPr/>
          <w:p>
            <w:pPr>
              <w:pStyle w:val="Compact"/>
              <w:jc w:val="left"/>
            </w:pPr>
            <w:r>
              <w:t xml:space="preserve">L/min</w:t>
            </w:r>
          </w:p>
        </w:tc>
        <w:tc>
          <w:tcPr/>
          <w:p>
            <w:pPr>
              <w:pStyle w:val="Compact"/>
              <w:jc w:val="left"/>
            </w:pPr>
            <w:r>
              <w:t xml:space="preserve">Every 10 minutes</w:t>
            </w:r>
          </w:p>
        </w:tc>
      </w:tr>
      <w:tr>
        <w:tc>
          <w:tcPr/>
          <w:p>
            <w:pPr>
              <w:pStyle w:val="Compact"/>
              <w:jc w:val="left"/>
            </w:pPr>
            <w:r>
              <w:t xml:space="preserve">Product Composition</w:t>
            </w:r>
          </w:p>
        </w:tc>
        <w:tc>
          <w:tcPr/>
          <w:p>
            <w:pPr>
              <w:pStyle w:val="Compact"/>
              <w:jc w:val="left"/>
            </w:pPr>
            <w:r>
              <w:t xml:space="preserve">%</w:t>
            </w:r>
          </w:p>
        </w:tc>
        <w:tc>
          <w:tcPr/>
          <w:p>
            <w:pPr>
              <w:pStyle w:val="Compact"/>
              <w:jc w:val="left"/>
            </w:pPr>
            <w:r>
              <w:t xml:space="preserve">Every hour</w:t>
            </w:r>
          </w:p>
        </w:tc>
      </w:tr>
    </w:tbl>
    <w:p>
      <w:pPr>
        <w:pStyle w:val="BodyText"/>
      </w:pPr>
      <w:r>
        <w:t xml:space="preserve">A comprehensive report must be submitted within 48 hours of experiment completion, detailing the methodology, results, and recommendations for future work.</w:t>
      </w:r>
    </w:p>
    <w:bookmarkEnd w:id="29"/>
    <w:bookmarkStart w:id="30" w:name="environmental-considerations"/>
    <w:p>
      <w:pPr>
        <w:pStyle w:val="Heading2"/>
      </w:pPr>
      <w:r>
        <w:t xml:space="preserve">7. Environmental Considerations</w:t>
      </w:r>
    </w:p>
    <w:p>
      <w:pPr>
        <w:pStyle w:val="FirstParagraph"/>
      </w:pPr>
      <w:r>
        <w:t xml:space="preserve">Given the sensitive environment of Abu Dhabi, special attention must be paid to minimizing the ecological impact of experimental activities. This includes:</w:t>
      </w:r>
    </w:p>
    <w:p>
      <w:pPr>
        <w:numPr>
          <w:ilvl w:val="0"/>
          <w:numId w:val="1006"/>
        </w:numPr>
        <w:pStyle w:val="Compact"/>
      </w:pPr>
      <w:r>
        <w:t xml:space="preserve">Proper disposal of chemical waste in accordance with EAD regulations.</w:t>
      </w:r>
    </w:p>
    <w:p>
      <w:pPr>
        <w:numPr>
          <w:ilvl w:val="0"/>
          <w:numId w:val="1006"/>
        </w:numPr>
        <w:pStyle w:val="Compact"/>
      </w:pPr>
      <w:r>
        <w:t xml:space="preserve">Implementation of energy-efficient practices to reduce carbon footprint.</w:t>
      </w:r>
    </w:p>
    <w:p>
      <w:pPr>
        <w:numPr>
          <w:ilvl w:val="0"/>
          <w:numId w:val="1006"/>
        </w:numPr>
        <w:pStyle w:val="Compact"/>
      </w:pPr>
      <w:r>
        <w:t xml:space="preserve">Regular monitoring of emissions to ensure compliance with local air quality standards.</w:t>
      </w:r>
    </w:p>
    <w:bookmarkEnd w:id="30"/>
    <w:bookmarkStart w:id="31" w:name="conclusion"/>
    <w:p>
      <w:pPr>
        <w:pStyle w:val="Heading2"/>
      </w:pPr>
      <w:r>
        <w:t xml:space="preserve">8. Conclusion</w:t>
      </w:r>
    </w:p>
    <w:p>
      <w:pPr>
        <w:pStyle w:val="FirstParagraph"/>
      </w:pPr>
      <w:r>
        <w:t xml:space="preserve">This Experiment Protocol provides a robust framework for conducting chemical engineering experiments in Abu Dhabi, United Arab Emirates. By following these guidelines, Chemical Engineers can ensure that their work is safe, efficient, and environmentally responsible. Continuous improvement and adherence to best practices will contribute to the advancement of the petrochemical industry in the region.</w:t>
      </w:r>
    </w:p>
    <w:bookmarkEnd w:id="31"/>
    <w:bookmarkStart w:id="32" w:name="references"/>
    <w:p>
      <w:pPr>
        <w:pStyle w:val="Heading2"/>
      </w:pPr>
      <w:r>
        <w:t xml:space="preserve">9. References</w:t>
      </w:r>
    </w:p>
    <w:p>
      <w:pPr>
        <w:numPr>
          <w:ilvl w:val="0"/>
          <w:numId w:val="1007"/>
        </w:numPr>
        <w:pStyle w:val="Compact"/>
      </w:pPr>
      <w:r>
        <w:t xml:space="preserve">Abu Dhabi Department of Energy (DOE) Guidelines</w:t>
      </w:r>
    </w:p>
    <w:p>
      <w:pPr>
        <w:numPr>
          <w:ilvl w:val="0"/>
          <w:numId w:val="1007"/>
        </w:numPr>
        <w:pStyle w:val="Compact"/>
      </w:pPr>
      <w:r>
        <w:t xml:space="preserve">Environment Agency – Abu Dhabi (EAD) Regulations</w:t>
      </w:r>
    </w:p>
    <w:p>
      <w:pPr>
        <w:numPr>
          <w:ilvl w:val="0"/>
          <w:numId w:val="1007"/>
        </w:numPr>
        <w:pStyle w:val="Compact"/>
      </w:pPr>
      <w:r>
        <w:t xml:space="preserve">International Standards for Chemical Process Safety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Engineering Operations in Abu Dhabi</dc:title>
  <dc:creator/>
  <dc:language>en</dc:language>
  <cp:keywords/>
  <dcterms:created xsi:type="dcterms:W3CDTF">2026-10-10T02:42:47Z</dcterms:created>
  <dcterms:modified xsi:type="dcterms:W3CDTF">2026-10-10T02:42:47Z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