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Catalytic</w:t>
      </w:r>
      <w:r>
        <w:t xml:space="preserve"> </w:t>
      </w:r>
      <w:r>
        <w:t xml:space="preserve">Reactor</w:t>
      </w:r>
      <w:r>
        <w:t xml:space="preserve"> </w:t>
      </w:r>
      <w:r>
        <w:t xml:space="preserve">Efficiency</w:t>
      </w:r>
    </w:p>
    <w:bookmarkStart w:id="20" w:name="X243ac9a7c0bdb366b4af70cbb3d87d11c7395f4"/>
    <w:p>
      <w:pPr>
        <w:pStyle w:val="Heading1"/>
      </w:pPr>
      <w:r>
        <w:t xml:space="preserve">Experiment Protocol: Advanced Catalytic Reactor Efficiency</w:t>
      </w:r>
    </w:p>
    <w:p>
      <w:pPr>
        <w:pStyle w:val="FirstParagraph"/>
      </w:pPr>
      <w:r>
        <w:rPr>
          <w:bCs/>
          <w:b/>
        </w:rPr>
        <w:t xml:space="preserve">Location:</w:t>
      </w:r>
      <w:r>
        <w:t xml:space="preserve"> </w:t>
      </w:r>
      <w:r>
        <w:t xml:space="preserve">United Kingdom Manchester, Greater Manchester Innovation Hub</w:t>
      </w:r>
    </w:p>
    <w:p>
      <w:pPr>
        <w:pStyle w:val="BodyText"/>
      </w:pPr>
      <w:r>
        <w:rPr>
          <w:bCs/>
          <w:b/>
        </w:rPr>
        <w:t xml:space="preserve">Role:</w:t>
      </w:r>
      <w:r>
        <w:t xml:space="preserve"> </w:t>
      </w:r>
      <w:r>
        <w:t xml:space="preserve">Chemical Engineer (Lead Investigator)</w:t>
      </w:r>
    </w:p>
    <w:p>
      <w:pPr>
        <w:pStyle w:val="BodyText"/>
      </w:pPr>
      <w:r>
        <w:rPr>
          <w:bCs/>
          <w:b/>
        </w:rPr>
        <w:t xml:space="preserve">Document ID:</w:t>
      </w:r>
      <w:r>
        <w:t xml:space="preserve"> </w:t>
      </w:r>
      <w:r>
        <w:t xml:space="preserve">UK-MCR-CE-2023-045</w:t>
      </w:r>
    </w:p>
    <w:p>
      <w:pPr>
        <w:pStyle w:val="BodyText"/>
      </w:pPr>
      <w:r>
        <w:rPr>
          <w:bCs/>
          <w:b/>
        </w:rPr>
        <w:t xml:space="preserve">Date:</w:t>
      </w:r>
      <w:r>
        <w:t xml:space="preserve"> </w:t>
      </w:r>
      <w:r>
        <w:t xml:space="preserve">October 24, 2023</w:t>
      </w:r>
    </w:p>
    <w:p>
      <w:pPr>
        <w:pStyle w:val="BodyText"/>
      </w:pPr>
      <w:r>
        <w:rPr>
          <w:bCs/>
          <w:b/>
        </w:rPr>
        <w:t xml:space="preserve">Compliance:</w:t>
      </w:r>
      <w:r>
        <w:t xml:space="preserve"> </w:t>
      </w:r>
      <w:r>
        <w:t xml:space="preserve">UK Health and Safety at Work etc. Act 1974, COSHH Regulations 2002</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procedures required for the evaluation of novel zeolite-based catalysts in a fixed-bed reactor system. The primary objective is to determine the conversion efficiency and selectivity of the catalyst when processing hydrocarbon feedstocks under elevated temperatures and pressures. This research is critical for advancing sustainable chemical manufacturing processes within the United Kingdom Manchester industrial sector, aligning with national goals for reducing carbon emissions and improving energy efficiency.</w:t>
      </w:r>
    </w:p>
    <w:p>
      <w:pPr>
        <w:pStyle w:val="BodyText"/>
      </w:pPr>
      <w:r>
        <w:t xml:space="preserve">The Chemical Engineer responsible for this experiment must ensure that all operations adhere to the highest standards of safety, precision, and regulatory compliance. The protocol is designed to provide a clear, step-by-step guide for the setup, execution, monitoring, and shutdown of the experiment, ensuring reproducibility and data integrity.</w:t>
      </w:r>
    </w:p>
    <w:bookmarkEnd w:id="21"/>
    <w:bookmarkStart w:id="25" w:name="safety-and-regulatory-compliance"/>
    <w:p>
      <w:pPr>
        <w:pStyle w:val="Heading2"/>
      </w:pPr>
      <w:r>
        <w:t xml:space="preserve">2. Safety and Regulatory Compliance</w:t>
      </w:r>
    </w:p>
    <w:p>
      <w:pPr>
        <w:pStyle w:val="FirstParagraph"/>
      </w:pPr>
      <w:r>
        <w:t xml:space="preserve">Safety is paramount in all chemical engineering operations. This experiment involves hazardous materials, high temperatures, and high pressures, necessitating strict adherence to safety protocols.</w:t>
      </w:r>
    </w:p>
    <w:p>
      <w:pPr>
        <w:pStyle w:val="BodyText"/>
      </w:pPr>
      <w:r>
        <w:rPr>
          <w:bCs/>
          <w:b/>
        </w:rPr>
        <w:t xml:space="preserve">Warning:</w:t>
      </w:r>
      <w:r>
        <w:t xml:space="preserve"> </w:t>
      </w:r>
      <w:r>
        <w:t xml:space="preserve">Failure to follow safety procedures may result in severe injury, equipment damage, or environmental harm. All personnel must be trained and authorized to perform these tasks.</w:t>
      </w:r>
    </w:p>
    <w:bookmarkStart w:id="22" w:name="personal-protective-equipment-ppe"/>
    <w:p>
      <w:pPr>
        <w:pStyle w:val="Heading3"/>
      </w:pPr>
      <w:r>
        <w:t xml:space="preserve">2.1 Personal Protective Equipment (PPE)</w:t>
      </w:r>
    </w:p>
    <w:p>
      <w:pPr>
        <w:numPr>
          <w:ilvl w:val="0"/>
          <w:numId w:val="1001"/>
        </w:numPr>
        <w:pStyle w:val="Compact"/>
      </w:pPr>
      <w:r>
        <w:t xml:space="preserve">Lab coat (flame-resistant)</w:t>
      </w:r>
    </w:p>
    <w:p>
      <w:pPr>
        <w:numPr>
          <w:ilvl w:val="0"/>
          <w:numId w:val="1001"/>
        </w:numPr>
        <w:pStyle w:val="Compact"/>
      </w:pPr>
      <w:r>
        <w:t xml:space="preserve">Safety goggles with side shields</w:t>
      </w:r>
    </w:p>
    <w:p>
      <w:pPr>
        <w:numPr>
          <w:ilvl w:val="0"/>
          <w:numId w:val="1001"/>
        </w:numPr>
        <w:pStyle w:val="Compact"/>
      </w:pPr>
      <w:r>
        <w:t xml:space="preserve">Nitrile gloves (chemical-resistant)</w:t>
      </w:r>
    </w:p>
    <w:p>
      <w:pPr>
        <w:numPr>
          <w:ilvl w:val="0"/>
          <w:numId w:val="1001"/>
        </w:numPr>
        <w:pStyle w:val="Compact"/>
      </w:pPr>
      <w:r>
        <w:t xml:space="preserve">Closed-toe shoes</w:t>
      </w:r>
    </w:p>
    <w:p>
      <w:pPr>
        <w:numPr>
          <w:ilvl w:val="0"/>
          <w:numId w:val="1001"/>
        </w:numPr>
        <w:pStyle w:val="Compact"/>
      </w:pPr>
      <w:r>
        <w:t xml:space="preserve">Face shield (when handling high-pressure systems)</w:t>
      </w:r>
    </w:p>
    <w:bookmarkEnd w:id="22"/>
    <w:bookmarkStart w:id="23" w:name="hazardous-materials"/>
    <w:p>
      <w:pPr>
        <w:pStyle w:val="Heading3"/>
      </w:pPr>
      <w:r>
        <w:t xml:space="preserve">2.2 Hazardous Materials</w:t>
      </w:r>
    </w:p>
    <w:p>
      <w:pPr>
        <w:pStyle w:val="FirstParagraph"/>
      </w:pPr>
      <w:r>
        <w:t xml:space="preserve">All chemicals used in this experiment must be handled in accordance with the Control of Substances Hazardous to Health (COSHH) Regulations 2002. Safety Data Sheets (SDS) for all materials must be readily available in the laboratory.</w:t>
      </w:r>
    </w:p>
    <w:bookmarkEnd w:id="23"/>
    <w:bookmarkStart w:id="24" w:name="emergency-procedures"/>
    <w:p>
      <w:pPr>
        <w:pStyle w:val="Heading3"/>
      </w:pPr>
      <w:r>
        <w:t xml:space="preserve">2.3 Emergency Procedures</w:t>
      </w:r>
    </w:p>
    <w:p>
      <w:pPr>
        <w:pStyle w:val="FirstParagraph"/>
      </w:pPr>
      <w:r>
        <w:t xml:space="preserve">In the event of an emergency, personnel must immediately activate the nearest emergency stop button, evacuate the area, and notify the laboratory supervisor. Emergency showers and eyewash stations are located at the north and south ends of the laboratory.</w:t>
      </w:r>
    </w:p>
    <w:bookmarkEnd w:id="24"/>
    <w:bookmarkEnd w:id="25"/>
    <w:bookmarkStart w:id="26" w:name="equipment-and-materials"/>
    <w:p>
      <w:pPr>
        <w:pStyle w:val="Heading2"/>
      </w:pPr>
      <w:r>
        <w:t xml:space="preserve">3. Equipment and Materials</w:t>
      </w:r>
    </w:p>
    <w:p>
      <w:pPr>
        <w:pStyle w:val="FirstParagraph"/>
      </w:pPr>
      <w:r>
        <w:t xml:space="preserve">The following equipment and materials are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Fixed-Bed Reactor</w:t>
            </w:r>
          </w:p>
        </w:tc>
        <w:tc>
          <w:tcPr/>
          <w:p>
            <w:pPr>
              <w:pStyle w:val="Compact"/>
              <w:jc w:val="left"/>
            </w:pPr>
            <w:r>
              <w:t xml:space="preserve">Stainless steel, 100 mL volume, max pressure 50 bar</w:t>
            </w:r>
          </w:p>
        </w:tc>
        <w:tc>
          <w:tcPr/>
          <w:p>
            <w:pPr>
              <w:pStyle w:val="Compact"/>
              <w:jc w:val="left"/>
            </w:pPr>
            <w:r>
              <w:t xml:space="preserve">1</w:t>
            </w:r>
          </w:p>
        </w:tc>
      </w:tr>
      <w:tr>
        <w:tc>
          <w:tcPr/>
          <w:p>
            <w:pPr>
              <w:pStyle w:val="Compact"/>
              <w:jc w:val="left"/>
            </w:pPr>
            <w:r>
              <w:t xml:space="preserve">Mass Flow Controllers</w:t>
            </w:r>
          </w:p>
        </w:tc>
        <w:tc>
          <w:tcPr/>
          <w:p>
            <w:pPr>
              <w:pStyle w:val="Compact"/>
              <w:jc w:val="left"/>
            </w:pPr>
            <w:r>
              <w:t xml:space="preserve">Calibrated for hydrocarbon gases</w:t>
            </w:r>
          </w:p>
        </w:tc>
        <w:tc>
          <w:tcPr/>
          <w:p>
            <w:pPr>
              <w:pStyle w:val="Compact"/>
              <w:jc w:val="left"/>
            </w:pPr>
            <w:r>
              <w:t xml:space="preserve">2</w:t>
            </w:r>
          </w:p>
        </w:tc>
      </w:tr>
      <w:tr>
        <w:tc>
          <w:tcPr/>
          <w:p>
            <w:pPr>
              <w:pStyle w:val="Compact"/>
              <w:jc w:val="left"/>
            </w:pPr>
            <w:r>
              <w:t xml:space="preserve">Temperature Controller</w:t>
            </w:r>
          </w:p>
        </w:tc>
        <w:tc>
          <w:tcPr/>
          <w:p>
            <w:pPr>
              <w:pStyle w:val="Compact"/>
              <w:jc w:val="left"/>
            </w:pPr>
            <w:r>
              <w:t xml:space="preserve">Range: 25°C to 500°C, accuracy ±1°C</w:t>
            </w:r>
          </w:p>
        </w:tc>
        <w:tc>
          <w:tcPr/>
          <w:p>
            <w:pPr>
              <w:pStyle w:val="Compact"/>
              <w:jc w:val="left"/>
            </w:pPr>
            <w:r>
              <w:t xml:space="preserve">1</w:t>
            </w:r>
          </w:p>
        </w:tc>
      </w:tr>
      <w:tr>
        <w:tc>
          <w:tcPr/>
          <w:p>
            <w:pPr>
              <w:pStyle w:val="Compact"/>
              <w:jc w:val="left"/>
            </w:pPr>
            <w:r>
              <w:t xml:space="preserve">Pressure Transducers</w:t>
            </w:r>
          </w:p>
        </w:tc>
        <w:tc>
          <w:tcPr/>
          <w:p>
            <w:pPr>
              <w:pStyle w:val="Compact"/>
              <w:jc w:val="left"/>
            </w:pPr>
            <w:r>
              <w:t xml:space="preserve">Range: 0 to 100 bar, accuracy ±0.5%</w:t>
            </w:r>
          </w:p>
        </w:tc>
        <w:tc>
          <w:tcPr/>
          <w:p>
            <w:pPr>
              <w:pStyle w:val="Compact"/>
              <w:jc w:val="left"/>
            </w:pPr>
            <w:r>
              <w:t xml:space="preserve">2</w:t>
            </w:r>
          </w:p>
        </w:tc>
      </w:tr>
      <w:tr>
        <w:tc>
          <w:tcPr/>
          <w:p>
            <w:pPr>
              <w:pStyle w:val="Compact"/>
              <w:jc w:val="left"/>
            </w:pPr>
            <w:r>
              <w:t xml:space="preserve">Gas Chromatograph</w:t>
            </w:r>
          </w:p>
        </w:tc>
        <w:tc>
          <w:tcPr/>
          <w:p>
            <w:pPr>
              <w:pStyle w:val="Compact"/>
              <w:jc w:val="left"/>
            </w:pPr>
            <w:r>
              <w:t xml:space="preserve">Equipped with FID and TCD detectors</w:t>
            </w:r>
          </w:p>
        </w:tc>
        <w:tc>
          <w:tcPr/>
          <w:p>
            <w:pPr>
              <w:pStyle w:val="Compact"/>
              <w:jc w:val="left"/>
            </w:pPr>
            <w:r>
              <w:t xml:space="preserve">1</w:t>
            </w:r>
          </w:p>
        </w:tc>
      </w:tr>
      <w:tr>
        <w:tc>
          <w:tcPr/>
          <w:p>
            <w:pPr>
              <w:pStyle w:val="Compact"/>
              <w:jc w:val="left"/>
            </w:pPr>
            <w:r>
              <w:t xml:space="preserve">Zeolite Catalyst</w:t>
            </w:r>
          </w:p>
        </w:tc>
        <w:tc>
          <w:tcPr/>
          <w:p>
            <w:pPr>
              <w:pStyle w:val="Compact"/>
              <w:jc w:val="left"/>
            </w:pPr>
            <w:r>
              <w:t xml:space="preserve">Novel formulation, particle size 0.5-1 mm</w:t>
            </w:r>
          </w:p>
        </w:tc>
        <w:tc>
          <w:tcPr/>
          <w:p>
            <w:pPr>
              <w:pStyle w:val="Compact"/>
              <w:jc w:val="left"/>
            </w:pPr>
            <w:r>
              <w:t xml:space="preserve">50 g</w:t>
            </w:r>
          </w:p>
        </w:tc>
      </w:tr>
      <w:tr>
        <w:tc>
          <w:tcPr/>
          <w:p>
            <w:pPr>
              <w:pStyle w:val="Compact"/>
              <w:jc w:val="left"/>
            </w:pPr>
            <w:r>
              <w:t xml:space="preserve">Hydrocarbon Feedstock</w:t>
            </w:r>
          </w:p>
        </w:tc>
        <w:tc>
          <w:tcPr/>
          <w:p>
            <w:pPr>
              <w:pStyle w:val="Compact"/>
              <w:jc w:val="left"/>
            </w:pPr>
            <w:r>
              <w:t xml:space="preserve">High-purity n-hexane</w:t>
            </w:r>
          </w:p>
        </w:tc>
        <w:tc>
          <w:tcPr/>
          <w:p>
            <w:pPr>
              <w:pStyle w:val="Compact"/>
              <w:jc w:val="left"/>
            </w:pPr>
            <w:r>
              <w:t xml:space="preserve">1 L</w:t>
            </w:r>
          </w:p>
        </w:tc>
      </w:tr>
    </w:tbl>
    <w:bookmarkEnd w:id="26"/>
    <w:bookmarkStart w:id="31" w:name="experimental-procedure"/>
    <w:p>
      <w:pPr>
        <w:pStyle w:val="Heading2"/>
      </w:pPr>
      <w:r>
        <w:t xml:space="preserve">4. Experimental Procedure</w:t>
      </w:r>
    </w:p>
    <w:p>
      <w:pPr>
        <w:pStyle w:val="FirstParagraph"/>
      </w:pPr>
      <w:r>
        <w:t xml:space="preserve">The Chemical Engineer must follow the steps below to conduct the experiment. Each step is critical for ensuring accurate and reliable results.</w:t>
      </w:r>
    </w:p>
    <w:bookmarkStart w:id="27" w:name="preparation"/>
    <w:p>
      <w:pPr>
        <w:pStyle w:val="Heading3"/>
      </w:pPr>
      <w:r>
        <w:t xml:space="preserve">4.1 Preparation</w:t>
      </w:r>
    </w:p>
    <w:p>
      <w:pPr>
        <w:numPr>
          <w:ilvl w:val="0"/>
          <w:numId w:val="1002"/>
        </w:numPr>
        <w:pStyle w:val="Compact"/>
      </w:pPr>
      <w:r>
        <w:t xml:space="preserve">Inspect all equipment for signs of wear or damage. Ensure that all connections are secure and leak-free.</w:t>
      </w:r>
    </w:p>
    <w:p>
      <w:pPr>
        <w:numPr>
          <w:ilvl w:val="0"/>
          <w:numId w:val="1002"/>
        </w:numPr>
        <w:pStyle w:val="Compact"/>
      </w:pPr>
      <w:r>
        <w:t xml:space="preserve">Calibrate the mass flow controllers, temperature controller, and pressure transducers according to manufacturer specifications.</w:t>
      </w:r>
    </w:p>
    <w:p>
      <w:pPr>
        <w:numPr>
          <w:ilvl w:val="0"/>
          <w:numId w:val="1002"/>
        </w:numPr>
        <w:pStyle w:val="Compact"/>
      </w:pPr>
      <w:r>
        <w:t xml:space="preserve">Prepare the catalyst by loading it into the fixed-bed reactor. Ensure that the catalyst bed is evenly distributed and compacted to prevent channeling.</w:t>
      </w:r>
    </w:p>
    <w:p>
      <w:pPr>
        <w:numPr>
          <w:ilvl w:val="0"/>
          <w:numId w:val="1002"/>
        </w:numPr>
        <w:pStyle w:val="Compact"/>
      </w:pPr>
      <w:r>
        <w:t xml:space="preserve">Purge the reactor system with inert gas (nitrogen) to remove any air or moisture. Maintain a flow rate of 50 mL/min for 30 minutes.</w:t>
      </w:r>
    </w:p>
    <w:bookmarkEnd w:id="27"/>
    <w:bookmarkStart w:id="28" w:name="reaction-setup"/>
    <w:p>
      <w:pPr>
        <w:pStyle w:val="Heading3"/>
      </w:pPr>
      <w:r>
        <w:t xml:space="preserve">4.2 Reaction Setup</w:t>
      </w:r>
    </w:p>
    <w:p>
      <w:pPr>
        <w:numPr>
          <w:ilvl w:val="0"/>
          <w:numId w:val="1003"/>
        </w:numPr>
        <w:pStyle w:val="Compact"/>
      </w:pPr>
      <w:r>
        <w:t xml:space="preserve">Set the reactor temperature to the desired operating condition (e.g., 350°C) using the temperature controller. Allow the system to stabilize for 15 minutes.</w:t>
      </w:r>
    </w:p>
    <w:p>
      <w:pPr>
        <w:numPr>
          <w:ilvl w:val="0"/>
          <w:numId w:val="1003"/>
        </w:numPr>
        <w:pStyle w:val="Compact"/>
      </w:pPr>
      <w:r>
        <w:t xml:space="preserve">Introduce the hydrocarbon feedstock into the system using the mass flow controllers. Set the flow rate to 10 mL/min.</w:t>
      </w:r>
    </w:p>
    <w:p>
      <w:pPr>
        <w:numPr>
          <w:ilvl w:val="0"/>
          <w:numId w:val="1003"/>
        </w:numPr>
        <w:pStyle w:val="Compact"/>
      </w:pPr>
      <w:r>
        <w:t xml:space="preserve">Gradually increase the system pressure to the desired operating condition (e.g., 20 bar) using the pressure transducers to monitor and adjust.</w:t>
      </w:r>
    </w:p>
    <w:p>
      <w:pPr>
        <w:numPr>
          <w:ilvl w:val="0"/>
          <w:numId w:val="1003"/>
        </w:numPr>
        <w:pStyle w:val="Compact"/>
      </w:pPr>
      <w:r>
        <w:t xml:space="preserve">Allow the system to reach steady-state conditions, which may take up to 2 hours. Monitor temperature, pressure, and flow rates continuously.</w:t>
      </w:r>
    </w:p>
    <w:bookmarkEnd w:id="28"/>
    <w:bookmarkStart w:id="29" w:name="data-collection"/>
    <w:p>
      <w:pPr>
        <w:pStyle w:val="Heading3"/>
      </w:pPr>
      <w:r>
        <w:t xml:space="preserve">4.3 Data Collection</w:t>
      </w:r>
    </w:p>
    <w:p>
      <w:pPr>
        <w:numPr>
          <w:ilvl w:val="0"/>
          <w:numId w:val="1004"/>
        </w:numPr>
        <w:pStyle w:val="Compact"/>
      </w:pPr>
      <w:r>
        <w:t xml:space="preserve">Once steady-state conditions are achieved, collect gas samples from the reactor outlet at regular intervals (e.g., every 30 minutes).</w:t>
      </w:r>
    </w:p>
    <w:p>
      <w:pPr>
        <w:numPr>
          <w:ilvl w:val="0"/>
          <w:numId w:val="1004"/>
        </w:numPr>
        <w:pStyle w:val="Compact"/>
      </w:pPr>
      <w:r>
        <w:t xml:space="preserve">Analyze the gas samples using the gas chromatograph to determine the conversion efficiency and selectivity of the catalyst.</w:t>
      </w:r>
    </w:p>
    <w:p>
      <w:pPr>
        <w:numPr>
          <w:ilvl w:val="0"/>
          <w:numId w:val="1004"/>
        </w:numPr>
        <w:pStyle w:val="Compact"/>
      </w:pPr>
      <w:r>
        <w:t xml:space="preserve">Record all data, including temperature, pressure, flow rates, and chromatographic results, in the laboratory notebook and electronic data system.</w:t>
      </w:r>
    </w:p>
    <w:bookmarkEnd w:id="29"/>
    <w:bookmarkStart w:id="30" w:name="shutdown"/>
    <w:p>
      <w:pPr>
        <w:pStyle w:val="Heading3"/>
      </w:pPr>
      <w:r>
        <w:t xml:space="preserve">4.4 Shutdown</w:t>
      </w:r>
    </w:p>
    <w:p>
      <w:pPr>
        <w:numPr>
          <w:ilvl w:val="0"/>
          <w:numId w:val="1005"/>
        </w:numPr>
        <w:pStyle w:val="Compact"/>
      </w:pPr>
      <w:r>
        <w:t xml:space="preserve">Gradually reduce the reactor temperature to room temperature while maintaining a flow of inert gas.</w:t>
      </w:r>
    </w:p>
    <w:p>
      <w:pPr>
        <w:numPr>
          <w:ilvl w:val="0"/>
          <w:numId w:val="1005"/>
        </w:numPr>
        <w:pStyle w:val="Compact"/>
      </w:pPr>
      <w:r>
        <w:t xml:space="preserve">Depressurize the system slowly to atmospheric pressure.</w:t>
      </w:r>
    </w:p>
    <w:p>
      <w:pPr>
        <w:numPr>
          <w:ilvl w:val="0"/>
          <w:numId w:val="1005"/>
        </w:numPr>
        <w:pStyle w:val="Compact"/>
      </w:pPr>
      <w:r>
        <w:t xml:space="preserve">Turn off all equipment and disconnect power sources.</w:t>
      </w:r>
    </w:p>
    <w:p>
      <w:pPr>
        <w:numPr>
          <w:ilvl w:val="0"/>
          <w:numId w:val="1005"/>
        </w:numPr>
        <w:pStyle w:val="Compact"/>
      </w:pPr>
      <w:r>
        <w:t xml:space="preserve">Clean and store all equipment according to laboratory protocols.</w:t>
      </w:r>
    </w:p>
    <w:bookmarkEnd w:id="30"/>
    <w:bookmarkEnd w:id="31"/>
    <w:bookmarkStart w:id="32" w:name="data-analysis-and-reporting"/>
    <w:p>
      <w:pPr>
        <w:pStyle w:val="Heading2"/>
      </w:pPr>
      <w:r>
        <w:t xml:space="preserve">5. Data Analysis and Reporting</w:t>
      </w:r>
    </w:p>
    <w:p>
      <w:pPr>
        <w:pStyle w:val="FirstParagraph"/>
      </w:pPr>
      <w:r>
        <w:t xml:space="preserve">The Chemical Engineer must analyze the collected data to determine the performance of the catalyst. Key metrics include conversion efficiency, selectivity, and reaction rate. The results should be compared with theoretical predictions and previous experimental data to assess the effectiveness of the novel catalyst formulation.</w:t>
      </w:r>
    </w:p>
    <w:p>
      <w:pPr>
        <w:pStyle w:val="BodyText"/>
      </w:pPr>
      <w:r>
        <w:t xml:space="preserve">A comprehensive report must be prepared, detailing the experimental setup, procedures, results, and conclusions. The report should be submitted to the project manager and relevant stakeholders within two weeks of completing the experiment.</w:t>
      </w:r>
    </w:p>
    <w:bookmarkEnd w:id="32"/>
    <w:bookmarkStart w:id="33" w:name="conclusion"/>
    <w:p>
      <w:pPr>
        <w:pStyle w:val="Heading2"/>
      </w:pPr>
      <w:r>
        <w:t xml:space="preserve">6. Conclusion</w:t>
      </w:r>
    </w:p>
    <w:p>
      <w:pPr>
        <w:pStyle w:val="FirstParagraph"/>
      </w:pPr>
      <w:r>
        <w:t xml:space="preserve">This Experiment Protocol provides a detailed framework for conducting advanced catalytic reactor efficiency studies in United Kingdom Manchester. By adhering to these procedures, the Chemical Engineer can ensure the safety, accuracy, and reliability of the experimental results, contributing to the advancement of chemical engineering practices and sustainable industrial processes.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Catalytic Reactor Efficiency</dc:title>
  <dc:creator/>
  <dc:language>en</dc:language>
  <cp:keywords/>
  <dcterms:created xsi:type="dcterms:W3CDTF">2026-10-10T04:33:36Z</dcterms:created>
  <dcterms:modified xsi:type="dcterms:W3CDTF">2026-10-10T04:33:36Z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