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Reactor</w:t>
      </w:r>
      <w:r>
        <w:t xml:space="preserve"> </w:t>
      </w:r>
      <w:r>
        <w:t xml:space="preserve">Optimization</w:t>
      </w:r>
    </w:p>
    <w:bookmarkStart w:id="20" w:name="Xcba659a289b3c5020c165b6b260b8add6c045d2"/>
    <w:p>
      <w:pPr>
        <w:pStyle w:val="Heading1"/>
      </w:pPr>
      <w:r>
        <w:t xml:space="preserve">Experiment Protocol: Advanced Catalytic Reactor Optimization</w:t>
      </w:r>
    </w:p>
    <w:p>
      <w:pPr>
        <w:pStyle w:val="FirstParagraph"/>
      </w:pPr>
      <w:r>
        <w:rPr>
          <w:bCs/>
          <w:b/>
        </w:rPr>
        <w:t xml:space="preserve">Location:</w:t>
      </w:r>
      <w:r>
        <w:t xml:space="preserve"> </w:t>
      </w:r>
      <w:r>
        <w:t xml:space="preserve">Industrial Research Facility, Chicago, Illinois, United States</w:t>
      </w:r>
    </w:p>
    <w:p>
      <w:pPr>
        <w:pStyle w:val="BodyText"/>
      </w:pPr>
      <w:r>
        <w:rPr>
          <w:bCs/>
          <w:b/>
        </w:rPr>
        <w:t xml:space="preserve">Prepared By:</w:t>
      </w:r>
      <w:r>
        <w:t xml:space="preserve"> </w:t>
      </w:r>
      <w:r>
        <w:t xml:space="preserve">Senior Chemical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CHE-CHI-2023-004</w:t>
      </w:r>
    </w:p>
    <w:bookmarkEnd w:id="20"/>
    <w:bookmarkStart w:id="21" w:name="objective"/>
    <w:p>
      <w:pPr>
        <w:pStyle w:val="Heading2"/>
      </w:pPr>
      <w:r>
        <w:t xml:space="preserve">1. Objective</w:t>
      </w:r>
    </w:p>
    <w:p>
      <w:pPr>
        <w:pStyle w:val="FirstParagraph"/>
      </w:pPr>
      <w:r>
        <w:t xml:space="preserve">The primary objective of this experiment protocol is to evaluate the efficiency and stability of a novel zeolite-based catalyst in a fixed-bed reactor under conditions simulating industrial-scale hydrocarbon processing. This study is conducted by a team of Chemical Engineers in Chicago, Illinois, to support the development of more sustainable refining processes compliant with United States environmental standards.</w:t>
      </w:r>
    </w:p>
    <w:bookmarkEnd w:id="21"/>
    <w:bookmarkStart w:id="22" w:name="scope"/>
    <w:p>
      <w:pPr>
        <w:pStyle w:val="Heading2"/>
      </w:pPr>
      <w:r>
        <w:t xml:space="preserve">2. Scope</w:t>
      </w:r>
    </w:p>
    <w:p>
      <w:pPr>
        <w:pStyle w:val="FirstParagraph"/>
      </w:pPr>
      <w:r>
        <w:t xml:space="preserve">This protocol outlines the procedures for setting up, operating, and monitoring the catalytic reactor system. It includes safety measures, material handling, data collection, and post-experiment analysis. The experiment will be conducted in accordance with the regulations set by the Occupational Safety and Health Administration (OSHA) and the Environmental Protection Agency (EPA) of the United States.</w:t>
      </w:r>
    </w:p>
    <w:bookmarkEnd w:id="22"/>
    <w:bookmarkStart w:id="23" w:name="safety-considerations"/>
    <w:p>
      <w:pPr>
        <w:pStyle w:val="Heading2"/>
      </w:pPr>
      <w:r>
        <w:t xml:space="preserve">3. Safety Considerations</w:t>
      </w:r>
    </w:p>
    <w:p>
      <w:pPr>
        <w:pStyle w:val="FirstParagraph"/>
      </w:pPr>
      <w:r>
        <w:t xml:space="preserve">Given the hazardous nature of the chemicals and high-temperature conditions involved, strict adherence to safety protocols is mandatory. All personnel must wear appropriate personal protective equipment (PPE), including lab coats, safety goggles, gloves, and steel-toed boots. The laboratory is equipped with emergency showers, eyewash stations, and fire suppression systems. A risk assessment has been conducted, and all potential hazards have been identified and mitigated.</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Fixed-Bed Reactor</w:t>
            </w:r>
          </w:p>
        </w:tc>
        <w:tc>
          <w:tcPr/>
          <w:p>
            <w:pPr>
              <w:pStyle w:val="Compact"/>
              <w:jc w:val="left"/>
            </w:pPr>
            <w:r>
              <w:t xml:space="preserve">Stainless steel, 1-inch diameter, 2-meter length</w:t>
            </w:r>
          </w:p>
        </w:tc>
        <w:tc>
          <w:tcPr/>
          <w:p>
            <w:pPr>
              <w:pStyle w:val="Compact"/>
              <w:jc w:val="left"/>
            </w:pPr>
            <w:r>
              <w:t xml:space="preserve">1</w:t>
            </w:r>
          </w:p>
        </w:tc>
      </w:tr>
      <w:tr>
        <w:tc>
          <w:tcPr/>
          <w:p>
            <w:pPr>
              <w:pStyle w:val="Compact"/>
              <w:jc w:val="left"/>
            </w:pPr>
            <w:r>
              <w:t xml:space="preserve">Catalyst</w:t>
            </w:r>
          </w:p>
        </w:tc>
        <w:tc>
          <w:tcPr/>
          <w:p>
            <w:pPr>
              <w:pStyle w:val="Compact"/>
              <w:jc w:val="left"/>
            </w:pPr>
            <w:r>
              <w:t xml:space="preserve">Zeolite-based, 50 grams</w:t>
            </w:r>
          </w:p>
        </w:tc>
        <w:tc>
          <w:tcPr/>
          <w:p>
            <w:pPr>
              <w:pStyle w:val="Compact"/>
              <w:jc w:val="left"/>
            </w:pPr>
            <w:r>
              <w:t xml:space="preserve">1 batch</w:t>
            </w:r>
          </w:p>
        </w:tc>
      </w:tr>
      <w:tr>
        <w:tc>
          <w:tcPr/>
          <w:p>
            <w:pPr>
              <w:pStyle w:val="Compact"/>
              <w:jc w:val="left"/>
            </w:pPr>
            <w:r>
              <w:t xml:space="preserve">Feedstock</w:t>
            </w:r>
          </w:p>
        </w:tc>
        <w:tc>
          <w:tcPr/>
          <w:p>
            <w:pPr>
              <w:pStyle w:val="Compact"/>
              <w:jc w:val="left"/>
            </w:pPr>
            <w:r>
              <w:t xml:space="preserve">Naphtha, high-purity</w:t>
            </w:r>
          </w:p>
        </w:tc>
        <w:tc>
          <w:tcPr/>
          <w:p>
            <w:pPr>
              <w:pStyle w:val="Compact"/>
              <w:jc w:val="left"/>
            </w:pPr>
            <w:r>
              <w:t xml:space="preserve">10 liters</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w:t>
            </w:r>
          </w:p>
        </w:tc>
      </w:tr>
      <w:tr>
        <w:tc>
          <w:tcPr/>
          <w:p>
            <w:pPr>
              <w:pStyle w:val="Compact"/>
              <w:jc w:val="left"/>
            </w:pPr>
            <w:r>
              <w:t xml:space="preserve">Temperature Controllers</w:t>
            </w:r>
          </w:p>
        </w:tc>
        <w:tc>
          <w:tcPr/>
          <w:p>
            <w:pPr>
              <w:pStyle w:val="Compact"/>
              <w:jc w:val="left"/>
            </w:pPr>
            <w:r>
              <w:t xml:space="preserve">PID controllers with thermocouples</w:t>
            </w:r>
          </w:p>
        </w:tc>
        <w:tc>
          <w:tcPr/>
          <w:p>
            <w:pPr>
              <w:pStyle w:val="Compact"/>
              <w:jc w:val="left"/>
            </w:pPr>
            <w:r>
              <w:t xml:space="preserve">3</w:t>
            </w:r>
          </w:p>
        </w:tc>
      </w:tr>
      <w:tr>
        <w:tc>
          <w:tcPr/>
          <w:p>
            <w:pPr>
              <w:pStyle w:val="Compact"/>
              <w:jc w:val="left"/>
            </w:pPr>
            <w:r>
              <w:t xml:space="preserve">Pressure Gauges</w:t>
            </w:r>
          </w:p>
        </w:tc>
        <w:tc>
          <w:tcPr/>
          <w:p>
            <w:pPr>
              <w:pStyle w:val="Compact"/>
              <w:jc w:val="left"/>
            </w:pPr>
            <w:r>
              <w:t xml:space="preserve">0-100 psi range</w:t>
            </w:r>
          </w:p>
        </w:tc>
        <w:tc>
          <w:tcPr/>
          <w:p>
            <w:pPr>
              <w:pStyle w:val="Compact"/>
              <w:jc w:val="left"/>
            </w:pPr>
            <w:r>
              <w:t xml:space="preserve">2</w:t>
            </w:r>
          </w:p>
        </w:tc>
      </w:tr>
    </w:tbl>
    <w:bookmarkEnd w:id="24"/>
    <w:bookmarkStart w:id="29" w:name="procedure"/>
    <w:p>
      <w:pPr>
        <w:pStyle w:val="Heading2"/>
      </w:pPr>
      <w:r>
        <w:t xml:space="preserve">5. Procedure</w:t>
      </w:r>
    </w:p>
    <w:bookmarkStart w:id="25" w:name="preparation"/>
    <w:p>
      <w:pPr>
        <w:pStyle w:val="Heading3"/>
      </w:pPr>
      <w:r>
        <w:t xml:space="preserve">5.1 Preparation</w:t>
      </w:r>
    </w:p>
    <w:p>
      <w:pPr>
        <w:pStyle w:val="FirstParagraph"/>
      </w:pPr>
      <w:r>
        <w:t xml:space="preserve">Begin by inspecting all equipment for any signs of wear or damage. Ensure that the reactor is clean and free from contaminants. Load the catalyst into the reactor bed, ensuring uniform distribution. Connect the reactor to the feedstock supply and product collection system. Verify that all connections are secure and leak-free.</w:t>
      </w:r>
    </w:p>
    <w:bookmarkEnd w:id="25"/>
    <w:bookmarkStart w:id="26" w:name="startup"/>
    <w:p>
      <w:pPr>
        <w:pStyle w:val="Heading3"/>
      </w:pPr>
      <w:r>
        <w:t xml:space="preserve">5.2 Startup</w:t>
      </w:r>
    </w:p>
    <w:p>
      <w:pPr>
        <w:pStyle w:val="FirstParagraph"/>
      </w:pPr>
      <w:r>
        <w:t xml:space="preserve">Initiate the heating system and gradually increase the temperature to the desired operating condition of 450°C. Monitor the temperature closely to prevent thermal shock to the catalyst. Once the target temperature is reached, introduce the feedstock at a controlled flow rate of 1 liter per hour. Adjust the pressure to 50 psi and stabilize the system.</w:t>
      </w:r>
    </w:p>
    <w:bookmarkEnd w:id="26"/>
    <w:bookmarkStart w:id="27" w:name="operation"/>
    <w:p>
      <w:pPr>
        <w:pStyle w:val="Heading3"/>
      </w:pPr>
      <w:r>
        <w:t xml:space="preserve">5.3 Operation</w:t>
      </w:r>
    </w:p>
    <w:p>
      <w:pPr>
        <w:pStyle w:val="FirstParagraph"/>
      </w:pPr>
      <w:r>
        <w:t xml:space="preserve">Maintain the reactor at the specified temperature and pressure for a duration of 24 hours. Collect product samples at regular intervals (every 2 hours) for analysis. Record all operational parameters, including temperature, pressure, flow rate, and any anomalies observed during the experiment.</w:t>
      </w:r>
    </w:p>
    <w:bookmarkEnd w:id="27"/>
    <w:bookmarkStart w:id="28" w:name="shutdown"/>
    <w:p>
      <w:pPr>
        <w:pStyle w:val="Heading3"/>
      </w:pPr>
      <w:r>
        <w:t xml:space="preserve">5.4 Shutdown</w:t>
      </w:r>
    </w:p>
    <w:p>
      <w:pPr>
        <w:pStyle w:val="FirstParagraph"/>
      </w:pPr>
      <w:r>
        <w:t xml:space="preserve">After the experiment duration, gradually reduce the feedstock flow rate to zero. Allow the reactor to cool down to room temperature before opening. Collect the spent catalyst for further analysis. Clean all equipment and store materials properly.</w:t>
      </w:r>
    </w:p>
    <w:bookmarkEnd w:id="28"/>
    <w:bookmarkEnd w:id="29"/>
    <w:bookmarkStart w:id="30" w:name="data-collection-and-analysis"/>
    <w:p>
      <w:pPr>
        <w:pStyle w:val="Heading2"/>
      </w:pPr>
      <w:r>
        <w:t xml:space="preserve">6. Data Collection and Analysis</w:t>
      </w:r>
    </w:p>
    <w:p>
      <w:pPr>
        <w:pStyle w:val="FirstParagraph"/>
      </w:pPr>
      <w:r>
        <w:t xml:space="preserve">Product samples will be analyzed using gas chromatography to determine the composition and yield of the reaction products. The data will be used to calculate the conversion rate, selectivity, and catalyst deactivation rate. Statistical methods will be employed to ensure the reliability and validity of the results. All data will be documented in a laboratory notebook and entered into the company's database for future reference.</w:t>
      </w:r>
    </w:p>
    <w:bookmarkEnd w:id="30"/>
    <w:bookmarkStart w:id="31" w:name="environmental-and-regulatory-compliance"/>
    <w:p>
      <w:pPr>
        <w:pStyle w:val="Heading2"/>
      </w:pPr>
      <w:r>
        <w:t xml:space="preserve">7. Environmental and Regulatory Compliance</w:t>
      </w:r>
    </w:p>
    <w:p>
      <w:pPr>
        <w:pStyle w:val="FirstParagraph"/>
      </w:pPr>
      <w:r>
        <w:t xml:space="preserve">This experiment is designed to comply with all applicable environmental regulations in the United States, particularly those enforced by the EPA. Efforts will be made to minimize waste generation and emissions. Any hazardous waste produced during the experiment will be disposed of in accordance with local, state, and federal regulations. The Chemical Engineers involved in this study are committed to promoting sustainable practices in the chemical industry.</w:t>
      </w:r>
    </w:p>
    <w:bookmarkEnd w:id="31"/>
    <w:bookmarkStart w:id="32" w:name="conclusion"/>
    <w:p>
      <w:pPr>
        <w:pStyle w:val="Heading2"/>
      </w:pPr>
      <w:r>
        <w:t xml:space="preserve">8. Conclusion</w:t>
      </w:r>
    </w:p>
    <w:p>
      <w:pPr>
        <w:pStyle w:val="FirstParagraph"/>
      </w:pPr>
      <w:r>
        <w:t xml:space="preserve">This experiment protocol provides a comprehensive guide for conducting a catalytic reactor optimization study in Chicago, Illinois. By following these procedures, the Chemical Engineers involved will be able to gather valuable data on the performance of the novel catalyst, contributing to the advancement of more efficient and environmentally friendly refining processes in the United States.</w:t>
      </w:r>
    </w:p>
    <w:bookmarkEnd w:id="32"/>
    <w:p>
      <w:pPr>
        <w:pStyle w:val="BodyText"/>
      </w:pPr>
      <w:r>
        <w:rPr>
          <w:bCs/>
          <w:b/>
        </w:rPr>
        <w:t xml:space="preserve">Approved By:</w:t>
      </w:r>
    </w:p>
    <w:p>
      <w:pPr>
        <w:pStyle w:val="BodyText"/>
      </w:pPr>
      <w:r>
        <w:t xml:space="preserve">__________________________</w:t>
      </w:r>
    </w:p>
    <w:p>
      <w:pPr>
        <w:pStyle w:val="BodyText"/>
      </w:pPr>
      <w:r>
        <w:t xml:space="preserve">Dr. Jane Doe, Lead Chemical Engineer</w:t>
      </w:r>
    </w:p>
    <w:p>
      <w:pPr>
        <w:pStyle w:val="BodyText"/>
      </w:pPr>
      <w:r>
        <w:t xml:space="preserve">__________________________</w:t>
      </w:r>
    </w:p>
    <w:p>
      <w:pPr>
        <w:pStyle w:val="BodyText"/>
      </w:pPr>
      <w:r>
        <w:t xml:space="preserve">John Smith, Safety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Reactor Optimization</dc:title>
  <dc:creator/>
  <dc:language>en</dc:language>
  <cp:keywords/>
  <dcterms:created xsi:type="dcterms:W3CDTF">2026-10-10T06:45:37Z</dcterms:created>
  <dcterms:modified xsi:type="dcterms:W3CDTF">2026-10-10T06:45:37Z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