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Chemical Engineer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p>
      <w:pPr>
        <w:pStyle w:val="BodyText"/>
      </w:pPr>
      <w:r>
        <w:rPr>
          <w:bCs/>
          <w:b/>
        </w:rPr>
        <w:t xml:space="preserve">Protocol ID:</w:t>
      </w:r>
      <w:r>
        <w:t xml:space="preserve"> </w:t>
      </w:r>
      <w:r>
        <w:t xml:space="preserve">CE-MIA-2023-001</w:t>
      </w:r>
    </w:p>
    <w:bookmarkEnd w:id="20"/>
    <w:p>
      <w:pPr>
        <w:pStyle w:val="BodyText"/>
      </w:pPr>
      <w:r>
        <w:t xml:space="preserve">1. Objective</w:t>
      </w:r>
    </w:p>
    <w:p>
      <w:pPr>
        <w:pStyle w:val="BodyText"/>
      </w:pPr>
      <w:r>
        <w:t xml:space="preserve">The primary objective of this experiment is to evaluate the efficiency of a novel catalytic process for the conversion of biomass-derived feedstocks into biofuels. This process aims to enhance the yield and purity of biofuels while minimizing environmental impact. The experiment will be conducted in a controlled laboratory environment in Miami, Florida, United States, to ensure compliance with local and federal regulations.</w:t>
      </w:r>
    </w:p>
    <w:p>
      <w:pPr>
        <w:pStyle w:val="BodyText"/>
      </w:pPr>
      <w:r>
        <w:t xml:space="preserve">2. Background</w:t>
      </w:r>
    </w:p>
    <w:p>
      <w:pPr>
        <w:pStyle w:val="BodyText"/>
      </w:pPr>
      <w:r>
        <w:t xml:space="preserve">With the increasing demand for sustainable energy sources, the development of efficient biofuel production methods is crucial. Miami, being a hub for chemical engineering research and innovation, provides an ideal setting for this experiment. The city's proximity to major ports and its diverse industrial base offer unique opportunities for collaboration and resource availability. This experiment builds on previous research conducted by chemical engineers in the region, focusing on optimizing catalytic processes for biofuel production.</w:t>
      </w:r>
    </w:p>
    <w:p>
      <w:pPr>
        <w:pStyle w:val="BodyText"/>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Biomass Feedstock</w:t>
            </w:r>
          </w:p>
        </w:tc>
        <w:tc>
          <w:tcPr/>
          <w:p>
            <w:pPr>
              <w:pStyle w:val="Compact"/>
              <w:jc w:val="left"/>
            </w:pPr>
            <w:r>
              <w:t xml:space="preserve">10 kg</w:t>
            </w:r>
          </w:p>
        </w:tc>
        <w:tc>
          <w:tcPr/>
          <w:p>
            <w:pPr>
              <w:pStyle w:val="Compact"/>
              <w:jc w:val="left"/>
            </w:pPr>
            <w:r>
              <w:t xml:space="preserve">Locally sourced, dried, and ground</w:t>
            </w:r>
          </w:p>
        </w:tc>
      </w:tr>
      <w:tr>
        <w:tc>
          <w:tcPr/>
          <w:p>
            <w:pPr>
              <w:pStyle w:val="Compact"/>
              <w:jc w:val="left"/>
            </w:pPr>
            <w:r>
              <w:t xml:space="preserve">Catalyst</w:t>
            </w:r>
          </w:p>
        </w:tc>
        <w:tc>
          <w:tcPr/>
          <w:p>
            <w:pPr>
              <w:pStyle w:val="Compact"/>
              <w:jc w:val="left"/>
            </w:pPr>
            <w:r>
              <w:t xml:space="preserve">500 g</w:t>
            </w:r>
          </w:p>
        </w:tc>
        <w:tc>
          <w:tcPr/>
          <w:p>
            <w:pPr>
              <w:pStyle w:val="Compact"/>
              <w:jc w:val="left"/>
            </w:pPr>
            <w:r>
              <w:t xml:space="preserve">Novel zeolite-based catalyst</w:t>
            </w:r>
          </w:p>
        </w:tc>
      </w:tr>
      <w:tr>
        <w:tc>
          <w:tcPr/>
          <w:p>
            <w:pPr>
              <w:pStyle w:val="Compact"/>
              <w:jc w:val="left"/>
            </w:pPr>
            <w:r>
              <w:t xml:space="preserve">Reactor</w:t>
            </w:r>
          </w:p>
        </w:tc>
        <w:tc>
          <w:tcPr/>
          <w:p>
            <w:pPr>
              <w:pStyle w:val="Compact"/>
              <w:jc w:val="left"/>
            </w:pPr>
            <w:r>
              <w:t xml:space="preserve">1</w:t>
            </w:r>
          </w:p>
        </w:tc>
        <w:tc>
          <w:tcPr/>
          <w:p>
            <w:pPr>
              <w:pStyle w:val="Compact"/>
              <w:jc w:val="left"/>
            </w:pPr>
            <w:r>
              <w:t xml:space="preserve">Stainless steel, 50 L capacity</w:t>
            </w:r>
          </w:p>
        </w:tc>
      </w:tr>
      <w:tr>
        <w:tc>
          <w:tcPr/>
          <w:p>
            <w:pPr>
              <w:pStyle w:val="Compact"/>
              <w:jc w:val="left"/>
            </w:pPr>
            <w:r>
              <w:t xml:space="preserve">Temperature Controller</w:t>
            </w:r>
          </w:p>
        </w:tc>
        <w:tc>
          <w:tcPr/>
          <w:p>
            <w:pPr>
              <w:pStyle w:val="Compact"/>
              <w:jc w:val="left"/>
            </w:pPr>
            <w:r>
              <w:t xml:space="preserve">1</w:t>
            </w:r>
          </w:p>
        </w:tc>
        <w:tc>
          <w:tcPr/>
          <w:p>
            <w:pPr>
              <w:pStyle w:val="Compact"/>
              <w:jc w:val="left"/>
            </w:pPr>
            <w:r>
              <w:t xml:space="preserve">Range: 200-400°C</w:t>
            </w:r>
          </w:p>
        </w:tc>
      </w:tr>
      <w:tr>
        <w:tc>
          <w:tcPr/>
          <w:p>
            <w:pPr>
              <w:pStyle w:val="Compact"/>
              <w:jc w:val="left"/>
            </w:pPr>
            <w:r>
              <w:t xml:space="preserve">Pressure Gauge</w:t>
            </w:r>
          </w:p>
        </w:tc>
        <w:tc>
          <w:tcPr/>
          <w:p>
            <w:pPr>
              <w:pStyle w:val="Compact"/>
              <w:jc w:val="left"/>
            </w:pPr>
            <w:r>
              <w:t xml:space="preserve">1</w:t>
            </w:r>
          </w:p>
        </w:tc>
        <w:tc>
          <w:tcPr/>
          <w:p>
            <w:pPr>
              <w:pStyle w:val="Compact"/>
              <w:jc w:val="left"/>
            </w:pPr>
            <w:r>
              <w:t xml:space="preserve">Range: 0-10 bar</w:t>
            </w:r>
          </w:p>
        </w:tc>
      </w:tr>
      <w:tr>
        <w:tc>
          <w:tcPr/>
          <w:p>
            <w:pPr>
              <w:pStyle w:val="Compact"/>
              <w:jc w:val="left"/>
            </w:pPr>
            <w:r>
              <w:t xml:space="preserve">Gas Chromatograph</w:t>
            </w:r>
          </w:p>
        </w:tc>
        <w:tc>
          <w:tcPr/>
          <w:p>
            <w:pPr>
              <w:pStyle w:val="Compact"/>
              <w:jc w:val="left"/>
            </w:pPr>
            <w:r>
              <w:t xml:space="preserve">1</w:t>
            </w:r>
          </w:p>
        </w:tc>
        <w:tc>
          <w:tcPr/>
          <w:p>
            <w:pPr>
              <w:pStyle w:val="Compact"/>
              <w:jc w:val="left"/>
            </w:pPr>
            <w:r>
              <w:t xml:space="preserve">For product analysis</w:t>
            </w:r>
          </w:p>
        </w:tc>
      </w:tr>
      <w:tr>
        <w:tc>
          <w:tcPr/>
          <w:p>
            <w:pPr>
              <w:pStyle w:val="Compact"/>
              <w:jc w:val="left"/>
            </w:pPr>
            <w:r>
              <w:t xml:space="preserve">Safety Equipment</w:t>
            </w:r>
          </w:p>
        </w:tc>
        <w:tc>
          <w:tcPr/>
          <w:p>
            <w:pPr>
              <w:pStyle w:val="Compact"/>
              <w:jc w:val="left"/>
            </w:pPr>
            <w:r>
              <w:t xml:space="preserve">As needed</w:t>
            </w:r>
          </w:p>
        </w:tc>
        <w:tc>
          <w:tcPr/>
          <w:p>
            <w:pPr>
              <w:pStyle w:val="Compact"/>
              <w:jc w:val="left"/>
            </w:pPr>
            <w:r>
              <w:t xml:space="preserve">PPE, fire extinguishers, fume hoods</w:t>
            </w:r>
          </w:p>
        </w:tc>
      </w:tr>
    </w:tbl>
    <w:p>
      <w:pPr>
        <w:pStyle w:val="BodyText"/>
      </w:pPr>
      <w:r>
        <w:t xml:space="preserve">4. Procedure</w:t>
      </w:r>
    </w:p>
    <w:p>
      <w:pPr>
        <w:numPr>
          <w:ilvl w:val="0"/>
          <w:numId w:val="1001"/>
        </w:numPr>
        <w:pStyle w:val="Compact"/>
      </w:pPr>
      <w:r>
        <w:rPr>
          <w:bCs/>
          <w:b/>
        </w:rPr>
        <w:t xml:space="preserve">Preparation:</w:t>
      </w:r>
      <w:r>
        <w:t xml:space="preserve"> </w:t>
      </w:r>
      <w:r>
        <w:t xml:space="preserve">Ensure all equipment is clean and calibrated. Prepare the biomass feedstock by drying and grinding it to a uniform particle size.</w:t>
      </w:r>
    </w:p>
    <w:p>
      <w:pPr>
        <w:numPr>
          <w:ilvl w:val="0"/>
          <w:numId w:val="1001"/>
        </w:numPr>
        <w:pStyle w:val="Compact"/>
      </w:pPr>
      <w:r>
        <w:rPr>
          <w:bCs/>
          <w:b/>
        </w:rPr>
        <w:t xml:space="preserve">Charging the Reactor:</w:t>
      </w:r>
      <w:r>
        <w:t xml:space="preserve"> </w:t>
      </w:r>
      <w:r>
        <w:t xml:space="preserve">Load the biomass feedstock and catalyst into the reactor. Seal the reactor and connect it to the temperature controller and pressure gauge.</w:t>
      </w:r>
    </w:p>
    <w:p>
      <w:pPr>
        <w:numPr>
          <w:ilvl w:val="0"/>
          <w:numId w:val="1001"/>
        </w:numPr>
        <w:pStyle w:val="Compact"/>
      </w:pPr>
      <w:r>
        <w:rPr>
          <w:bCs/>
          <w:b/>
        </w:rPr>
        <w:t xml:space="preserve">Heating:</w:t>
      </w:r>
      <w:r>
        <w:t xml:space="preserve"> </w:t>
      </w:r>
      <w:r>
        <w:t xml:space="preserve">Gradually increase the temperature to 350°C at a rate of 5°C per minute. Maintain this temperature for 2 hours.</w:t>
      </w:r>
    </w:p>
    <w:p>
      <w:pPr>
        <w:numPr>
          <w:ilvl w:val="0"/>
          <w:numId w:val="1001"/>
        </w:numPr>
        <w:pStyle w:val="Compact"/>
      </w:pPr>
      <w:r>
        <w:rPr>
          <w:bCs/>
          <w:b/>
        </w:rPr>
        <w:t xml:space="preserve">Monitoring:</w:t>
      </w:r>
      <w:r>
        <w:t xml:space="preserve"> </w:t>
      </w:r>
      <w:r>
        <w:t xml:space="preserve">Continuously monitor the temperature and pressure inside the reactor. Record data at 15-minute intervals.</w:t>
      </w:r>
    </w:p>
    <w:p>
      <w:pPr>
        <w:numPr>
          <w:ilvl w:val="0"/>
          <w:numId w:val="1001"/>
        </w:numPr>
        <w:pStyle w:val="Compact"/>
      </w:pPr>
      <w:r>
        <w:rPr>
          <w:bCs/>
          <w:b/>
        </w:rPr>
        <w:t xml:space="preserve">Cooling:</w:t>
      </w:r>
      <w:r>
        <w:t xml:space="preserve"> </w:t>
      </w:r>
      <w:r>
        <w:t xml:space="preserve">After 2 hours, gradually cool the reactor to room temperature at a rate of 5°C per minute.</w:t>
      </w:r>
    </w:p>
    <w:p>
      <w:pPr>
        <w:numPr>
          <w:ilvl w:val="0"/>
          <w:numId w:val="1001"/>
        </w:numPr>
        <w:pStyle w:val="Compact"/>
      </w:pPr>
      <w:r>
        <w:rPr>
          <w:bCs/>
          <w:b/>
        </w:rPr>
        <w:t xml:space="preserve">Product Collection:</w:t>
      </w:r>
      <w:r>
        <w:t xml:space="preserve"> </w:t>
      </w:r>
      <w:r>
        <w:t xml:space="preserve">Open the reactor and collect the biofuel product. Transfer the product to a storage container.</w:t>
      </w:r>
    </w:p>
    <w:p>
      <w:pPr>
        <w:numPr>
          <w:ilvl w:val="0"/>
          <w:numId w:val="1001"/>
        </w:numPr>
        <w:pStyle w:val="Compact"/>
      </w:pPr>
      <w:r>
        <w:rPr>
          <w:bCs/>
          <w:b/>
        </w:rPr>
        <w:t xml:space="preserve">Analysis:</w:t>
      </w:r>
      <w:r>
        <w:t xml:space="preserve"> </w:t>
      </w:r>
      <w:r>
        <w:t xml:space="preserve">Analyze the biofuel product using gas chromatography to determine its composition and purity.</w:t>
      </w:r>
    </w:p>
    <w:p>
      <w:pPr>
        <w:pStyle w:val="FirstParagraph"/>
      </w:pPr>
      <w:r>
        <w:t xml:space="preserve">5. Safety Precautions</w:t>
      </w:r>
    </w:p>
    <w:p>
      <w:pPr>
        <w:pStyle w:val="BodyText"/>
      </w:pPr>
      <w:r>
        <w:t xml:space="preserve">Given the nature of the experiment, strict adherence to safety protocols is essential. All personnel must wear appropriate personal protective equipment (PPE), including lab coats, gloves, and safety goggles. The experiment will be conducted in a well-ventilated area with fume hoods to prevent exposure to harmful gases. Fire extinguishers and emergency showers must be readily available. In the event of an emergency, follow the established evacuation procedures for the laboratory in Miami, Florida.</w:t>
      </w:r>
    </w:p>
    <w:p>
      <w:pPr>
        <w:pStyle w:val="BodyText"/>
      </w:pPr>
      <w:r>
        <w:t xml:space="preserve">6. Data Collection and Analysis</w:t>
      </w:r>
    </w:p>
    <w:p>
      <w:pPr>
        <w:pStyle w:val="BodyText"/>
      </w:pPr>
      <w:r>
        <w:t xml:space="preserve">Data will be collected at regular intervals throughout the experiment. Key parameters to be recorded include temperature, pressure, and reaction time. The biofuel product will be analyzed using gas chromatography to determine its composition and purity. The data will be analyzed to assess the efficiency of the catalytic process and identify any areas for improvement. Statistical methods will be used to ensure the reliability and validity of the results.</w:t>
      </w:r>
    </w:p>
    <w:p>
      <w:pPr>
        <w:pStyle w:val="BodyText"/>
      </w:pPr>
      <w:r>
        <w:t xml:space="preserve">7. Environmental Considerations</w:t>
      </w:r>
    </w:p>
    <w:p>
      <w:pPr>
        <w:pStyle w:val="BodyText"/>
      </w:pPr>
      <w:r>
        <w:t xml:space="preserve">This experiment is designed with environmental sustainability in mind. The use of biomass-derived feedstocks and a novel catalytic process aims to reduce the carbon footprint of biofuel production. Waste materials will be properly disposed of in accordance with local and federal regulations. The laboratory in Miami, Florida, is equipped with advanced waste management systems to ensure minimal environmental impact.</w:t>
      </w:r>
    </w:p>
    <w:p>
      <w:pPr>
        <w:pStyle w:val="BodyText"/>
      </w:pPr>
      <w:r>
        <w:t xml:space="preserve">8. Conclusion</w:t>
      </w:r>
    </w:p>
    <w:p>
      <w:pPr>
        <w:pStyle w:val="BodyText"/>
      </w:pPr>
      <w:r>
        <w:t xml:space="preserve">This experiment protocol outlines the steps necessary to evaluate the efficiency of a novel catalytic process for biofuel production. By conducting this experiment in Miami, Florida, United States, we leverage the city's resources and expertise in chemical engineering. The results of this experiment will contribute to the development of more sustainable and efficient biofuel production methods, aligning with global efforts to combat climate change and promote renewable energy.</w:t>
      </w:r>
    </w:p>
    <w:p>
      <w:pPr>
        <w:pStyle w:val="BodyText"/>
      </w:pPr>
      <w:r>
        <w:rPr>
          <w:bCs/>
          <w:b/>
        </w:rPr>
        <w:t xml:space="preserve">Prepared by:</w:t>
      </w:r>
      <w:r>
        <w:t xml:space="preserve"> </w:t>
      </w:r>
      <w:r>
        <w:t xml:space="preserve">[Chemical Engineer's Name]</w:t>
      </w:r>
    </w:p>
    <w:p>
      <w:pPr>
        <w:pStyle w:val="BodyText"/>
      </w:pPr>
      <w:r>
        <w:rPr>
          <w:bCs/>
          <w:b/>
        </w:rPr>
        <w:t xml:space="preserve">Reviewed by:</w:t>
      </w:r>
      <w:r>
        <w:t xml:space="preserve"> </w:t>
      </w:r>
      <w:r>
        <w:t xml:space="preserve">[Supervisor's Name]</w:t>
      </w:r>
    </w:p>
    <w:p>
      <w:pPr>
        <w:pStyle w:val="BodyText"/>
      </w:pPr>
      <w:r>
        <w:rPr>
          <w:bCs/>
          <w:b/>
        </w:rPr>
        <w:t xml:space="preserve">Approved by:</w:t>
      </w:r>
      <w:r>
        <w:t xml:space="preserve"> </w:t>
      </w:r>
      <w:r>
        <w:t xml:space="preserve">[Department Head's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United States Miami</dc:title>
  <dc:creator/>
  <dc:language>en</dc:language>
  <cp:keywords/>
  <dcterms:created xsi:type="dcterms:W3CDTF">2026-10-10T06:27:59Z</dcterms:created>
  <dcterms:modified xsi:type="dcterms:W3CDTF">2026-10-10T06:27:59Z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