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Catalytic</w:t>
      </w:r>
      <w:r>
        <w:t xml:space="preserve"> </w:t>
      </w:r>
      <w:r>
        <w:t xml:space="preserve">Conversion</w:t>
      </w:r>
      <w:r>
        <w:t xml:space="preserve"> </w:t>
      </w:r>
      <w:r>
        <w:t xml:space="preserve">for</w:t>
      </w:r>
      <w:r>
        <w:t xml:space="preserve"> </w:t>
      </w:r>
      <w:r>
        <w:t xml:space="preserve">Urban</w:t>
      </w:r>
      <w:r>
        <w:t xml:space="preserve"> </w:t>
      </w:r>
      <w:r>
        <w:t xml:space="preserve">Waste-to-Energy</w:t>
      </w:r>
      <w:r>
        <w:t xml:space="preserve"> </w:t>
      </w:r>
      <w:r>
        <w:t xml:space="preserve">Systems</w:t>
      </w:r>
    </w:p>
    <w:p>
      <w:pPr>
        <w:pStyle w:val="FirstParagraph"/>
      </w:pPr>
      <w:r>
        <w:rPr>
          <w:bCs/>
          <w:b/>
        </w:rPr>
        <w:t xml:space="preserve">Document ID:</w:t>
      </w:r>
      <w:r>
        <w:t xml:space="preserve"> </w:t>
      </w:r>
      <w:r>
        <w:t xml:space="preserve">NY-CE-EXP-2023-042</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Brooklyn Industrial Research Park, New York City</w:t>
      </w:r>
      <w:r>
        <w:br/>
      </w:r>
      <w:r>
        <w:rPr>
          <w:bCs/>
          <w:b/>
        </w:rPr>
        <w:t xml:space="preserve">Department:</w:t>
      </w:r>
      <w:r>
        <w:t xml:space="preserve"> </w:t>
      </w:r>
      <w:r>
        <w:t xml:space="preserve">Advanced Materials &amp; Process Engineering</w:t>
      </w:r>
    </w:p>
    <w:bookmarkStart w:id="26" w:name="X61133eea99b41fa01693c0a8be5e96afab00d56"/>
    <w:p>
      <w:pPr>
        <w:pStyle w:val="Heading1"/>
      </w:pPr>
      <w:r>
        <w:t xml:space="preserve">Experiment Protocol: Catalytic Pyrolysis of Mixed Municipal Solid Waste for Sustainable Energy Generation</w:t>
      </w:r>
    </w:p>
    <w:bookmarkStart w:id="20" w:name="introduction-and-objective"/>
    <w:p>
      <w:pPr>
        <w:pStyle w:val="Heading2"/>
      </w:pPr>
      <w:r>
        <w:t xml:space="preserve">1. Introduction and Objective</w:t>
      </w:r>
    </w:p>
    <w:p>
      <w:pPr>
        <w:pStyle w:val="FirstParagraph"/>
      </w:pPr>
      <w:r>
        <w:t xml:space="preserve">This Experiment Protocol outlines the procedures for a controlled laboratory study designed by a senior Chemical Engineer to evaluate the efficiency of novel zeolite-based catalysts in the pyrolysis of mixed municipal solid waste (MSW). The primary objective is to optimize the conversion of non-recyclable urban waste into high-grade bio-oil and syngas. Given the unique density and waste composition challenges inherent to the United States New York City metropolitan area, this research aims to develop scalable solutions for decentralized waste-to-energy facilities that comply with strict local environmental regulations.</w:t>
      </w:r>
    </w:p>
    <w:bookmarkEnd w:id="20"/>
    <w:bookmarkStart w:id="21" w:name="Xc1bf6019d7c7f546cd756b019a9b2d8bdab0c79"/>
    <w:p>
      <w:pPr>
        <w:pStyle w:val="Heading2"/>
      </w:pPr>
      <w:r>
        <w:t xml:space="preserve">2. Regulatory Compliance and Safety Standards</w:t>
      </w:r>
    </w:p>
    <w:p>
      <w:pPr>
        <w:pStyle w:val="FirstParagraph"/>
      </w:pPr>
      <w:r>
        <w:t xml:space="preserve">All procedures must strictly adhere to the safety guidelines established by the Occupational Safety and Health Administration (OSHA) and the Environmental Protection Agency (EPA). Furthermore, specific protocols mandated by the New York City Department of Health and Mental Hygiene (DOHMH) and the New York State Department of Environmental Conservation (NYSDEC) regarding hazardous material handling and emissions must be observed.</w:t>
      </w:r>
    </w:p>
    <w:p>
      <w:pPr>
        <w:pStyle w:val="BodyText"/>
      </w:pPr>
      <w:r>
        <w:rPr>
          <w:bCs/>
          <w:b/>
        </w:rPr>
        <w:t xml:space="preserve">CRITICAL SAFETY NOTICE:</w:t>
      </w:r>
      <w:r>
        <w:t xml:space="preserve"> </w:t>
      </w:r>
      <w:r>
        <w:t xml:space="preserve">This experiment involves high temperatures (up to 600°C), pressurized gases, and potentially toxic byproducts. Only certified personnel with current training in chemical process safety may execute this protocol.</w:t>
      </w:r>
    </w:p>
    <w:p>
      <w:pPr>
        <w:numPr>
          <w:ilvl w:val="0"/>
          <w:numId w:val="1001"/>
        </w:numPr>
        <w:pStyle w:val="Compact"/>
      </w:pPr>
      <w:r>
        <w:t xml:space="preserve">Personal Protective Equipment (PPE): Lab coat, safety goggles, heat-resistant gloves, and N95 respirators are mandatory.</w:t>
      </w:r>
    </w:p>
    <w:p>
      <w:pPr>
        <w:numPr>
          <w:ilvl w:val="0"/>
          <w:numId w:val="1001"/>
        </w:numPr>
        <w:pStyle w:val="Compact"/>
      </w:pPr>
      <w:r>
        <w:t xml:space="preserve">Ventilation: All operations must be conducted within a certified fume hood with a minimum face velocity of 100 feet per minute.</w:t>
      </w:r>
    </w:p>
    <w:p>
      <w:pPr>
        <w:numPr>
          <w:ilvl w:val="0"/>
          <w:numId w:val="1001"/>
        </w:numPr>
        <w:pStyle w:val="Compact"/>
      </w:pPr>
      <w:r>
        <w:t xml:space="preserve">Emergency Procedures: In case of fire or chemical spill, activate the nearest emergency stop and notify the facility safety officer immediately.</w:t>
      </w:r>
    </w:p>
    <w:bookmarkEnd w:id="21"/>
    <w:bookmarkStart w:id="22"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Pyrolysis Reactor</w:t>
            </w:r>
          </w:p>
        </w:tc>
        <w:tc>
          <w:tcPr/>
          <w:p>
            <w:pPr>
              <w:pStyle w:val="Compact"/>
              <w:jc w:val="left"/>
            </w:pPr>
            <w:r>
              <w:t xml:space="preserve">Stainless steel, max temp 800°C, max pressure 10 bar</w:t>
            </w:r>
          </w:p>
        </w:tc>
        <w:tc>
          <w:tcPr/>
          <w:p>
            <w:pPr>
              <w:pStyle w:val="Compact"/>
              <w:jc w:val="left"/>
            </w:pPr>
            <w:r>
              <w:t xml:space="preserve">1</w:t>
            </w:r>
          </w:p>
        </w:tc>
      </w:tr>
      <w:tr>
        <w:tc>
          <w:tcPr/>
          <w:p>
            <w:pPr>
              <w:pStyle w:val="Compact"/>
              <w:jc w:val="left"/>
            </w:pPr>
            <w:r>
              <w:t xml:space="preserve">Catalyst</w:t>
            </w:r>
          </w:p>
        </w:tc>
        <w:tc>
          <w:tcPr/>
          <w:p>
            <w:pPr>
              <w:pStyle w:val="Compact"/>
              <w:jc w:val="left"/>
            </w:pPr>
            <w:r>
              <w:t xml:space="preserve">ZSM-5 Zeolite (sieved 40-60 mesh)</w:t>
            </w:r>
          </w:p>
        </w:tc>
        <w:tc>
          <w:tcPr/>
          <w:p>
            <w:pPr>
              <w:pStyle w:val="Compact"/>
              <w:jc w:val="left"/>
            </w:pPr>
            <w:r>
              <w:t xml:space="preserve">500 g</w:t>
            </w:r>
          </w:p>
        </w:tc>
      </w:tr>
      <w:tr>
        <w:tc>
          <w:tcPr/>
          <w:p>
            <w:pPr>
              <w:pStyle w:val="Compact"/>
              <w:jc w:val="left"/>
            </w:pPr>
            <w:r>
              <w:t xml:space="preserve">Feedstock</w:t>
            </w:r>
          </w:p>
        </w:tc>
        <w:tc>
          <w:tcPr/>
          <w:p>
            <w:pPr>
              <w:pStyle w:val="Compact"/>
              <w:jc w:val="left"/>
            </w:pPr>
            <w:r>
              <w:t xml:space="preserve">Shredded MSW (simulated NYC waste profile: 40% paper, 30% plastics, 30% organics)</w:t>
            </w:r>
          </w:p>
        </w:tc>
        <w:tc>
          <w:tcPr/>
          <w:p>
            <w:pPr>
              <w:pStyle w:val="Compact"/>
              <w:jc w:val="left"/>
            </w:pPr>
            <w:r>
              <w:t xml:space="preserve">2 kg</w:t>
            </w:r>
          </w:p>
        </w:tc>
      </w:tr>
      <w:tr>
        <w:tc>
          <w:tcPr/>
          <w:p>
            <w:pPr>
              <w:pStyle w:val="Compact"/>
              <w:jc w:val="left"/>
            </w:pPr>
            <w:r>
              <w:t xml:space="preserve">Inert Gas</w:t>
            </w:r>
          </w:p>
        </w:tc>
        <w:tc>
          <w:tcPr/>
          <w:p>
            <w:pPr>
              <w:pStyle w:val="Compact"/>
              <w:jc w:val="left"/>
            </w:pPr>
            <w:r>
              <w:t xml:space="preserve">Nitrogen (99.999% purity)</w:t>
            </w:r>
          </w:p>
        </w:tc>
        <w:tc>
          <w:tcPr/>
          <w:p>
            <w:pPr>
              <w:pStyle w:val="Compact"/>
              <w:jc w:val="left"/>
            </w:pPr>
            <w:r>
              <w:t xml:space="preserve">As needed</w:t>
            </w:r>
          </w:p>
        </w:tc>
      </w:tr>
      <w:tr>
        <w:tc>
          <w:tcPr/>
          <w:p>
            <w:pPr>
              <w:pStyle w:val="Compact"/>
              <w:jc w:val="left"/>
            </w:pPr>
            <w:r>
              <w:t xml:space="preserve">Gas Chromatograph (GC)</w:t>
            </w:r>
          </w:p>
        </w:tc>
        <w:tc>
          <w:tcPr/>
          <w:p>
            <w:pPr>
              <w:pStyle w:val="Compact"/>
              <w:jc w:val="left"/>
            </w:pPr>
            <w:r>
              <w:t xml:space="preserve">For product analysis</w:t>
            </w:r>
          </w:p>
        </w:tc>
        <w:tc>
          <w:tcPr/>
          <w:p>
            <w:pPr>
              <w:pStyle w:val="Compact"/>
              <w:jc w:val="left"/>
            </w:pPr>
            <w:r>
              <w:t xml:space="preserve">1</w:t>
            </w:r>
          </w:p>
        </w:tc>
      </w:tr>
    </w:tbl>
    <w:bookmarkEnd w:id="22"/>
    <w:bookmarkStart w:id="23" w:name="experimental-procedure"/>
    <w:p>
      <w:pPr>
        <w:pStyle w:val="Heading2"/>
      </w:pPr>
      <w:r>
        <w:t xml:space="preserve">4. Experimental Procedure</w:t>
      </w:r>
    </w:p>
    <w:p>
      <w:pPr>
        <w:numPr>
          <w:ilvl w:val="0"/>
          <w:numId w:val="1002"/>
        </w:numPr>
        <w:pStyle w:val="Compact"/>
      </w:pPr>
      <w:r>
        <w:rPr>
          <w:bCs/>
          <w:b/>
        </w:rPr>
        <w:t xml:space="preserve">Preparation:</w:t>
      </w:r>
      <w:r>
        <w:t xml:space="preserve"> </w:t>
      </w:r>
      <w:r>
        <w:t xml:space="preserve">The Chemical Engineer must verify the integrity of the reactor seals and calibrate all temperature sensors. Ensure the nitrogen supply is connected and leak-tested.</w:t>
      </w:r>
    </w:p>
    <w:p>
      <w:pPr>
        <w:numPr>
          <w:ilvl w:val="0"/>
          <w:numId w:val="1002"/>
        </w:numPr>
        <w:pStyle w:val="Compact"/>
      </w:pPr>
      <w:r>
        <w:rPr>
          <w:bCs/>
          <w:b/>
        </w:rPr>
        <w:t xml:space="preserve">Feedstock Loading:</w:t>
      </w:r>
      <w:r>
        <w:t xml:space="preserve"> </w:t>
      </w:r>
      <w:r>
        <w:t xml:space="preserve">Weigh exactly 500 grams of the prepared MSW sample. Load the sample into the reactor vessel along with 50 grams of the ZSM-5 catalyst. Ensure uniform mixing to prevent channeling during pyrolysis.</w:t>
      </w:r>
    </w:p>
    <w:p>
      <w:pPr>
        <w:numPr>
          <w:ilvl w:val="0"/>
          <w:numId w:val="1002"/>
        </w:numPr>
        <w:pStyle w:val="Compact"/>
      </w:pPr>
      <w:r>
        <w:rPr>
          <w:bCs/>
          <w:b/>
        </w:rPr>
        <w:t xml:space="preserve">Purge Cycle:</w:t>
      </w:r>
      <w:r>
        <w:t xml:space="preserve"> </w:t>
      </w:r>
      <w:r>
        <w:t xml:space="preserve">Initiate the nitrogen flow at a rate of 100 mL/min. Purge the system for 30 minutes to displace all oxygen, reducing the O2 concentration to below 0.5% to prevent combustion.</w:t>
      </w:r>
    </w:p>
    <w:p>
      <w:pPr>
        <w:numPr>
          <w:ilvl w:val="0"/>
          <w:numId w:val="1002"/>
        </w:numPr>
        <w:pStyle w:val="Compact"/>
      </w:pPr>
      <w:r>
        <w:rPr>
          <w:bCs/>
          <w:b/>
        </w:rPr>
        <w:t xml:space="preserve">Heating Phase:</w:t>
      </w:r>
      <w:r>
        <w:t xml:space="preserve"> </w:t>
      </w:r>
      <w:r>
        <w:t xml:space="preserve">Begin heating the reactor at a ramp rate of 10°C/min until the target temperature of 500°C is reached. Monitor the pressure gauge continuously.</w:t>
      </w:r>
    </w:p>
    <w:p>
      <w:pPr>
        <w:numPr>
          <w:ilvl w:val="0"/>
          <w:numId w:val="1002"/>
        </w:numPr>
        <w:pStyle w:val="Compact"/>
      </w:pPr>
      <w:r>
        <w:rPr>
          <w:bCs/>
          <w:b/>
        </w:rPr>
        <w:t xml:space="preserve">Reaction Phase:</w:t>
      </w:r>
      <w:r>
        <w:t xml:space="preserve"> </w:t>
      </w:r>
      <w:r>
        <w:t xml:space="preserve">Maintain the temperature at 500°C for 60 minutes. Collect the condensed liquid products (bio-oil) in a cooled trap and direct non-condensable gases to the gas holder for later analysis.</w:t>
      </w:r>
    </w:p>
    <w:p>
      <w:pPr>
        <w:numPr>
          <w:ilvl w:val="0"/>
          <w:numId w:val="1002"/>
        </w:numPr>
        <w:pStyle w:val="Compact"/>
      </w:pPr>
      <w:r>
        <w:rPr>
          <w:bCs/>
          <w:b/>
        </w:rPr>
        <w:t xml:space="preserve">Cooling and Recovery:</w:t>
      </w:r>
      <w:r>
        <w:t xml:space="preserve"> </w:t>
      </w:r>
      <w:r>
        <w:t xml:space="preserve">Once the reaction time is complete, turn off the heater and allow the reactor to cool naturally under a continuous nitrogen flow. Once below 100°C, open the reactor and collect the solid char residue.</w:t>
      </w:r>
    </w:p>
    <w:p>
      <w:pPr>
        <w:numPr>
          <w:ilvl w:val="0"/>
          <w:numId w:val="1002"/>
        </w:numPr>
        <w:pStyle w:val="Compact"/>
      </w:pPr>
      <w:r>
        <w:rPr>
          <w:bCs/>
          <w:b/>
        </w:rPr>
        <w:t xml:space="preserve">Analysis:</w:t>
      </w:r>
      <w:r>
        <w:t xml:space="preserve"> </w:t>
      </w:r>
      <w:r>
        <w:t xml:space="preserve">Analyze the bio-oil and syngas composition using Gas Chromatography-Mass Spectrometry (GC-MS). Record the yield percentages of oil, gas, and char.</w:t>
      </w:r>
    </w:p>
    <w:bookmarkEnd w:id="23"/>
    <w:bookmarkStart w:id="24" w:name="data-recording-and-reporting"/>
    <w:p>
      <w:pPr>
        <w:pStyle w:val="Heading2"/>
      </w:pPr>
      <w:r>
        <w:t xml:space="preserve">5. Data Recording and Reporting</w:t>
      </w:r>
    </w:p>
    <w:p>
      <w:pPr>
        <w:pStyle w:val="FirstParagraph"/>
      </w:pPr>
      <w:r>
        <w:t xml:space="preserve">All data must be recorded in the laboratory's electronic notebook system. The Chemical Engineer is responsible for documenting:</w:t>
      </w:r>
    </w:p>
    <w:p>
      <w:pPr>
        <w:numPr>
          <w:ilvl w:val="0"/>
          <w:numId w:val="1003"/>
        </w:numPr>
        <w:pStyle w:val="Compact"/>
      </w:pPr>
      <w:r>
        <w:t xml:space="preserve">Temperature profiles and pressure readings at 5-minute intervals.</w:t>
      </w:r>
    </w:p>
    <w:p>
      <w:pPr>
        <w:numPr>
          <w:ilvl w:val="0"/>
          <w:numId w:val="1003"/>
        </w:numPr>
        <w:pStyle w:val="Compact"/>
      </w:pPr>
      <w:r>
        <w:t xml:space="preserve">Mass balance calculations to ensure conservation of mass.</w:t>
      </w:r>
    </w:p>
    <w:p>
      <w:pPr>
        <w:numPr>
          <w:ilvl w:val="0"/>
          <w:numId w:val="1003"/>
        </w:numPr>
        <w:pStyle w:val="Compact"/>
      </w:pPr>
      <w:r>
        <w:t xml:space="preserve">Chemical composition of the resulting bio-oil, specifically looking for aromatic hydrocarbons suitable for fuel applications.</w:t>
      </w:r>
    </w:p>
    <w:p>
      <w:pPr>
        <w:pStyle w:val="FirstParagraph"/>
      </w:pPr>
      <w:r>
        <w:t xml:space="preserve">The final report must include a discussion on the scalability of this process for implementation in New York City's waste management infrastructure, considering space constraints and energy demands.</w:t>
      </w:r>
    </w:p>
    <w:bookmarkEnd w:id="24"/>
    <w:bookmarkStart w:id="25" w:name="waste-disposal"/>
    <w:p>
      <w:pPr>
        <w:pStyle w:val="Heading2"/>
      </w:pPr>
      <w:r>
        <w:t xml:space="preserve">6. Waste Disposal</w:t>
      </w:r>
    </w:p>
    <w:p>
      <w:pPr>
        <w:pStyle w:val="FirstParagraph"/>
      </w:pPr>
      <w:r>
        <w:t xml:space="preserve">All chemical waste generated during this experiment must be segregated according to the New York City Department of Sanitation (DSNY) guidelines for hazardous industrial waste. Char residue must be tested for heavy metals before disposal or potential reuse as a soil amendment.</w:t>
      </w:r>
    </w:p>
    <w:bookmarkEnd w:id="25"/>
    <w:p>
      <w:pPr>
        <w:pStyle w:val="BodyText"/>
      </w:pPr>
      <w:r>
        <w:rPr>
          <w:bCs/>
          <w:b/>
        </w:rPr>
        <w:t xml:space="preserve">Lead Chemical Engineer Signature:</w:t>
      </w:r>
      <w:r>
        <w:br/>
      </w:r>
      <w:r>
        <w:t xml:space="preserve">Date: _______________</w:t>
      </w:r>
    </w:p>
    <w:p>
      <w:pPr>
        <w:pStyle w:val="BodyText"/>
      </w:pPr>
      <w:r>
        <w:rPr>
          <w:bCs/>
          <w:b/>
        </w:rPr>
        <w:t xml:space="preserve">Safety Officer Approval:</w:t>
      </w:r>
      <w:r>
        <w:br/>
      </w:r>
      <w:r>
        <w:t xml:space="preserve">Date: 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Catalytic Conversion for Urban Waste-to-Energy Systems</dc:title>
  <dc:creator/>
  <dc:language>en</dc:language>
  <cp:keywords/>
  <dcterms:created xsi:type="dcterms:W3CDTF">2026-10-10T03:53:57Z</dcterms:created>
  <dcterms:modified xsi:type="dcterms:W3CDTF">2026-10-10T03:53:57Z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