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San</w:t>
      </w:r>
      <w:r>
        <w:t xml:space="preserve"> </w:t>
      </w:r>
      <w:r>
        <w:t xml:space="preserve">Francisco</w:t>
      </w:r>
    </w:p>
    <w:bookmarkStart w:id="35" w:name="X1103004c12488ce6c9a69c0e5da5ffd992a8a8e"/>
    <w:p>
      <w:pPr>
        <w:pStyle w:val="Heading1"/>
      </w:pPr>
      <w:r>
        <w:t xml:space="preserve">Experiment Protocol: Advanced Catalytic Conversion for Sustainable Energy Systems</w:t>
      </w:r>
    </w:p>
    <w:p>
      <w:pPr>
        <w:pStyle w:val="FirstParagraph"/>
      </w:pPr>
      <w:r>
        <w:rPr>
          <w:bCs/>
          <w:b/>
        </w:rPr>
        <w:t xml:space="preserve">Document ID:</w:t>
      </w:r>
      <w:r>
        <w:t xml:space="preserve"> </w:t>
      </w:r>
      <w:r>
        <w:t xml:space="preserve">SF-CE-EXP-2023-004</w:t>
      </w:r>
    </w:p>
    <w:p>
      <w:pPr>
        <w:pStyle w:val="BodyText"/>
      </w:pPr>
      <w:r>
        <w:rPr>
          <w:bCs/>
          <w:b/>
        </w:rPr>
        <w:t xml:space="preserve">Location:</w:t>
      </w:r>
      <w:r>
        <w:t xml:space="preserve"> </w:t>
      </w:r>
      <w:r>
        <w:t xml:space="preserve">San Francisco, California, United States</w:t>
      </w:r>
    </w:p>
    <w:p>
      <w:pPr>
        <w:pStyle w:val="BodyText"/>
      </w:pPr>
      <w:r>
        <w:rPr>
          <w:bCs/>
          <w:b/>
        </w:rPr>
        <w:t xml:space="preserve">Discipline:</w:t>
      </w:r>
      <w:r>
        <w:t xml:space="preserve"> </w:t>
      </w:r>
      <w:r>
        <w:t xml:space="preserve">Chemical Engineering</w:t>
      </w:r>
    </w:p>
    <w:p>
      <w:pPr>
        <w:pStyle w:val="BodyText"/>
      </w:pPr>
      <w:r>
        <w:rPr>
          <w:bCs/>
          <w:b/>
        </w:rPr>
        <w:t xml:space="preserve">Prepared By:</w:t>
      </w:r>
      <w:r>
        <w:t xml:space="preserve"> </w:t>
      </w:r>
      <w:r>
        <w:t xml:space="preserve">Lead Chemical Engineer, Research Division</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objective"/>
    <w:p>
      <w:pPr>
        <w:pStyle w:val="Heading2"/>
      </w:pPr>
      <w:r>
        <w:t xml:space="preserve">1. Objective</w:t>
      </w:r>
    </w:p>
    <w:p>
      <w:pPr>
        <w:pStyle w:val="FirstParagraph"/>
      </w:pPr>
      <w:r>
        <w:t xml:space="preserve">The primary objective of this experiment is to evaluate the efficiency and stability of a novel heterogeneous catalyst in the conversion of biomass-derived feedstocks into high-value biofuels. This research aligns with the sustainability goals prevalent in San Francisco and the broader United States, focusing on reducing carbon emissions and promoting green chemistry practices. The Chemical Engineer leading this study will ensure that all procedures adhere to rigorous scientific standards and regulatory requirements.</w:t>
      </w:r>
    </w:p>
    <w:bookmarkEnd w:id="20"/>
    <w:bookmarkStart w:id="21" w:name="scope"/>
    <w:p>
      <w:pPr>
        <w:pStyle w:val="Heading2"/>
      </w:pPr>
      <w:r>
        <w:t xml:space="preserve">2. Scope</w:t>
      </w:r>
    </w:p>
    <w:p>
      <w:pPr>
        <w:pStyle w:val="FirstParagraph"/>
      </w:pPr>
      <w:r>
        <w:t xml:space="preserve">This protocol outlines the procedures for conducting laboratory-scale experiments involving catalytic reactions. It covers material preparation, reactor operation, data collection, and safety measures. The scope is limited to controlled laboratory conditions within the designated facility in San Francisco, California.</w:t>
      </w:r>
    </w:p>
    <w:bookmarkEnd w:id="21"/>
    <w:bookmarkStart w:id="24" w:name="regulatory-compliance-and-safety"/>
    <w:p>
      <w:pPr>
        <w:pStyle w:val="Heading2"/>
      </w:pPr>
      <w:r>
        <w:t xml:space="preserve">3. Regulatory Compliance and Safety</w:t>
      </w:r>
    </w:p>
    <w:p>
      <w:pPr>
        <w:pStyle w:val="FirstParagraph"/>
      </w:pPr>
      <w:r>
        <w:t xml:space="preserve">All activities must comply with federal, state, and local regulations, including those enforced by the Occupational Safety and Health Administration (OSHA), the Environmental Protection Agency (EPA), and the San Francisco Department of Public Health. The Chemical Engineer is responsible for ensuring that all personnel are trained in safety protocols and emergency procedures.</w:t>
      </w:r>
    </w:p>
    <w:p>
      <w:pPr>
        <w:pStyle w:val="BodyText"/>
      </w:pPr>
      <w:r>
        <w:rPr>
          <w:bCs/>
          <w:b/>
        </w:rPr>
        <w:t xml:space="preserve">Warning:</w:t>
      </w:r>
      <w:r>
        <w:t xml:space="preserve"> </w:t>
      </w:r>
      <w:r>
        <w:t xml:space="preserve">This experiment involves hazardous chemicals and high-pressure conditions. Proper personal protective equipment (PPE) must be worn at all times.</w:t>
      </w:r>
    </w:p>
    <w:bookmarkStart w:id="22" w:name="personal-protective-equipment-ppe"/>
    <w:p>
      <w:pPr>
        <w:pStyle w:val="Heading3"/>
      </w:pPr>
      <w:r>
        <w:t xml:space="preserve">3.1 Personal Protective Equipment (PPE)</w:t>
      </w:r>
    </w:p>
    <w:p>
      <w:pPr>
        <w:numPr>
          <w:ilvl w:val="0"/>
          <w:numId w:val="1001"/>
        </w:numPr>
        <w:pStyle w:val="Compact"/>
      </w:pPr>
      <w:r>
        <w:t xml:space="preserve">Safety goggles with side shields</w:t>
      </w:r>
    </w:p>
    <w:p>
      <w:pPr>
        <w:numPr>
          <w:ilvl w:val="0"/>
          <w:numId w:val="1001"/>
        </w:numPr>
        <w:pStyle w:val="Compact"/>
      </w:pPr>
      <w:r>
        <w:t xml:space="preserve">Lab coat made of flame-resistant material</w:t>
      </w:r>
    </w:p>
    <w:p>
      <w:pPr>
        <w:numPr>
          <w:ilvl w:val="0"/>
          <w:numId w:val="1001"/>
        </w:numPr>
        <w:pStyle w:val="Compact"/>
      </w:pPr>
      <w:r>
        <w:t xml:space="preserve">Nitrile gloves</w:t>
      </w:r>
    </w:p>
    <w:p>
      <w:pPr>
        <w:numPr>
          <w:ilvl w:val="0"/>
          <w:numId w:val="1001"/>
        </w:numPr>
        <w:pStyle w:val="Compact"/>
      </w:pPr>
      <w:r>
        <w:t xml:space="preserve">Closed-toe shoes</w:t>
      </w:r>
    </w:p>
    <w:p>
      <w:pPr>
        <w:numPr>
          <w:ilvl w:val="0"/>
          <w:numId w:val="1001"/>
        </w:numPr>
        <w:pStyle w:val="Compact"/>
      </w:pPr>
      <w:r>
        <w:t xml:space="preserve">Face shield when handling corrosive substances</w:t>
      </w:r>
    </w:p>
    <w:bookmarkEnd w:id="22"/>
    <w:bookmarkStart w:id="23" w:name="emergency-procedures"/>
    <w:p>
      <w:pPr>
        <w:pStyle w:val="Heading3"/>
      </w:pPr>
      <w:r>
        <w:t xml:space="preserve">3.2 Emergency Procedures</w:t>
      </w:r>
    </w:p>
    <w:p>
      <w:pPr>
        <w:numPr>
          <w:ilvl w:val="0"/>
          <w:numId w:val="1002"/>
        </w:numPr>
        <w:pStyle w:val="Compact"/>
      </w:pPr>
      <w:r>
        <w:t xml:space="preserve">In case of chemical spill, use the spill kit located in the laboratory.</w:t>
      </w:r>
    </w:p>
    <w:p>
      <w:pPr>
        <w:numPr>
          <w:ilvl w:val="0"/>
          <w:numId w:val="1002"/>
        </w:numPr>
        <w:pStyle w:val="Compact"/>
      </w:pPr>
      <w:r>
        <w:t xml:space="preserve">Activate the emergency shower and eyewash station if chemicals come into contact with skin or eyes.</w:t>
      </w:r>
    </w:p>
    <w:p>
      <w:pPr>
        <w:numPr>
          <w:ilvl w:val="0"/>
          <w:numId w:val="1002"/>
        </w:numPr>
        <w:pStyle w:val="Compact"/>
      </w:pPr>
      <w:r>
        <w:t xml:space="preserve">Evacuate the building via the nearest exit in case of fire or other emergencies.</w:t>
      </w:r>
    </w:p>
    <w:p>
      <w:pPr>
        <w:numPr>
          <w:ilvl w:val="0"/>
          <w:numId w:val="1002"/>
        </w:numPr>
        <w:pStyle w:val="Compact"/>
      </w:pPr>
      <w:r>
        <w:t xml:space="preserve">Contact emergency services at 911 and notify the facility safety officer.</w:t>
      </w:r>
    </w:p>
    <w:bookmarkEnd w:id="23"/>
    <w:bookmarkEnd w:id="24"/>
    <w:bookmarkStart w:id="25"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Biomass-derived feedstock</w:t>
            </w:r>
          </w:p>
        </w:tc>
        <w:tc>
          <w:tcPr/>
          <w:p>
            <w:pPr>
              <w:pStyle w:val="Compact"/>
              <w:jc w:val="left"/>
            </w:pPr>
            <w:r>
              <w:t xml:space="preserve">500 g</w:t>
            </w:r>
          </w:p>
        </w:tc>
        <w:tc>
          <w:tcPr/>
          <w:p>
            <w:pPr>
              <w:pStyle w:val="Compact"/>
              <w:jc w:val="left"/>
            </w:pPr>
            <w:r>
              <w:t xml:space="preserve">Purity &gt;95%</w:t>
            </w:r>
          </w:p>
        </w:tc>
      </w:tr>
      <w:tr>
        <w:tc>
          <w:tcPr/>
          <w:p>
            <w:pPr>
              <w:pStyle w:val="Compact"/>
              <w:jc w:val="left"/>
            </w:pPr>
            <w:r>
              <w:t xml:space="preserve">Heterogeneous catalyst</w:t>
            </w:r>
          </w:p>
        </w:tc>
        <w:tc>
          <w:tcPr/>
          <w:p>
            <w:pPr>
              <w:pStyle w:val="Compact"/>
              <w:jc w:val="left"/>
            </w:pPr>
            <w:r>
              <w:t xml:space="preserve">50 g</w:t>
            </w:r>
          </w:p>
        </w:tc>
        <w:tc>
          <w:tcPr/>
          <w:p>
            <w:pPr>
              <w:pStyle w:val="Compact"/>
              <w:jc w:val="left"/>
            </w:pPr>
            <w:r>
              <w:t xml:space="preserve">Custom-synthesized</w:t>
            </w:r>
          </w:p>
        </w:tc>
      </w:tr>
      <w:tr>
        <w:tc>
          <w:tcPr/>
          <w:p>
            <w:pPr>
              <w:pStyle w:val="Compact"/>
              <w:jc w:val="left"/>
            </w:pPr>
            <w:r>
              <w:t xml:space="preserve">High-pressure reactor</w:t>
            </w:r>
          </w:p>
        </w:tc>
        <w:tc>
          <w:tcPr/>
          <w:p>
            <w:pPr>
              <w:pStyle w:val="Compact"/>
              <w:jc w:val="left"/>
            </w:pPr>
            <w:r>
              <w:t xml:space="preserve">1 unit</w:t>
            </w:r>
          </w:p>
        </w:tc>
        <w:tc>
          <w:tcPr/>
          <w:p>
            <w:pPr>
              <w:pStyle w:val="Compact"/>
              <w:jc w:val="left"/>
            </w:pPr>
            <w:r>
              <w:t xml:space="preserve">Capacity: 1 L, Max pressure: 100 bar</w:t>
            </w:r>
          </w:p>
        </w:tc>
      </w:tr>
      <w:tr>
        <w:tc>
          <w:tcPr/>
          <w:p>
            <w:pPr>
              <w:pStyle w:val="Compact"/>
              <w:jc w:val="left"/>
            </w:pPr>
            <w:r>
              <w:t xml:space="preserve">Gas chromatograph</w:t>
            </w:r>
          </w:p>
        </w:tc>
        <w:tc>
          <w:tcPr/>
          <w:p>
            <w:pPr>
              <w:pStyle w:val="Compact"/>
              <w:jc w:val="left"/>
            </w:pPr>
            <w:r>
              <w:t xml:space="preserve">1 unit</w:t>
            </w:r>
          </w:p>
        </w:tc>
        <w:tc>
          <w:tcPr/>
          <w:p>
            <w:pPr>
              <w:pStyle w:val="Compact"/>
              <w:jc w:val="left"/>
            </w:pPr>
            <w:r>
              <w:t xml:space="preserve">Equipped with FID detector</w:t>
            </w:r>
          </w:p>
        </w:tc>
      </w:tr>
      <w:tr>
        <w:tc>
          <w:tcPr/>
          <w:p>
            <w:pPr>
              <w:pStyle w:val="Compact"/>
              <w:jc w:val="left"/>
            </w:pPr>
            <w:r>
              <w:t xml:space="preserve">Thermocouples</w:t>
            </w:r>
          </w:p>
        </w:tc>
        <w:tc>
          <w:tcPr/>
          <w:p>
            <w:pPr>
              <w:pStyle w:val="Compact"/>
              <w:jc w:val="left"/>
            </w:pPr>
            <w:r>
              <w:t xml:space="preserve">4 units</w:t>
            </w:r>
          </w:p>
        </w:tc>
        <w:tc>
          <w:tcPr/>
          <w:p>
            <w:pPr>
              <w:pStyle w:val="Compact"/>
              <w:jc w:val="left"/>
            </w:pPr>
            <w:r>
              <w:t xml:space="preserve">Type K, accuracy ±1°C</w:t>
            </w:r>
          </w:p>
        </w:tc>
      </w:tr>
    </w:tbl>
    <w:bookmarkEnd w:id="25"/>
    <w:bookmarkStart w:id="30" w:name="experimental-procedure"/>
    <w:p>
      <w:pPr>
        <w:pStyle w:val="Heading2"/>
      </w:pPr>
      <w:r>
        <w:t xml:space="preserve">5. Experimental Procedure</w:t>
      </w:r>
    </w:p>
    <w:bookmarkStart w:id="26" w:name="preparation"/>
    <w:p>
      <w:pPr>
        <w:pStyle w:val="Heading3"/>
      </w:pPr>
      <w:r>
        <w:t xml:space="preserve">5.1 Preparation</w:t>
      </w:r>
    </w:p>
    <w:p>
      <w:pPr>
        <w:numPr>
          <w:ilvl w:val="0"/>
          <w:numId w:val="1003"/>
        </w:numPr>
        <w:pStyle w:val="Compact"/>
      </w:pPr>
      <w:r>
        <w:t xml:space="preserve">Calibrate all instruments according to manufacturer specifications.</w:t>
      </w:r>
    </w:p>
    <w:p>
      <w:pPr>
        <w:numPr>
          <w:ilvl w:val="0"/>
          <w:numId w:val="1003"/>
        </w:numPr>
        <w:pStyle w:val="Compact"/>
      </w:pPr>
      <w:r>
        <w:t xml:space="preserve">Weigh the required amount of biomass-derived feedstock and catalyst.</w:t>
      </w:r>
    </w:p>
    <w:p>
      <w:pPr>
        <w:numPr>
          <w:ilvl w:val="0"/>
          <w:numId w:val="1003"/>
        </w:numPr>
        <w:pStyle w:val="Compact"/>
      </w:pPr>
      <w:r>
        <w:t xml:space="preserve">Load the feedstock and catalyst into the high-pressure reactor.</w:t>
      </w:r>
    </w:p>
    <w:p>
      <w:pPr>
        <w:numPr>
          <w:ilvl w:val="0"/>
          <w:numId w:val="1003"/>
        </w:numPr>
        <w:pStyle w:val="Compact"/>
      </w:pPr>
      <w:r>
        <w:t xml:space="preserve">Seal the reactor and check for leaks using a helium leak detector.</w:t>
      </w:r>
    </w:p>
    <w:bookmarkEnd w:id="26"/>
    <w:bookmarkStart w:id="27" w:name="reaction-conditions"/>
    <w:p>
      <w:pPr>
        <w:pStyle w:val="Heading3"/>
      </w:pPr>
      <w:r>
        <w:t xml:space="preserve">5.2 Reaction Conditions</w:t>
      </w:r>
    </w:p>
    <w:p>
      <w:pPr>
        <w:numPr>
          <w:ilvl w:val="0"/>
          <w:numId w:val="1004"/>
        </w:numPr>
        <w:pStyle w:val="Compact"/>
      </w:pPr>
      <w:r>
        <w:t xml:space="preserve">Set the reactor temperature to 300°C using the external heating system.</w:t>
      </w:r>
    </w:p>
    <w:p>
      <w:pPr>
        <w:numPr>
          <w:ilvl w:val="0"/>
          <w:numId w:val="1004"/>
        </w:numPr>
        <w:pStyle w:val="Compact"/>
      </w:pPr>
      <w:r>
        <w:t xml:space="preserve">Maintain a pressure of 50 bar using nitrogen gas.</w:t>
      </w:r>
    </w:p>
    <w:p>
      <w:pPr>
        <w:numPr>
          <w:ilvl w:val="0"/>
          <w:numId w:val="1004"/>
        </w:numPr>
        <w:pStyle w:val="Compact"/>
      </w:pPr>
      <w:r>
        <w:t xml:space="preserve">Stir the reaction mixture at 500 rpm to ensure uniform mixing.</w:t>
      </w:r>
    </w:p>
    <w:p>
      <w:pPr>
        <w:numPr>
          <w:ilvl w:val="0"/>
          <w:numId w:val="1004"/>
        </w:numPr>
        <w:pStyle w:val="Compact"/>
      </w:pPr>
      <w:r>
        <w:t xml:space="preserve">Allow the reaction to proceed for 4 hours.</w:t>
      </w:r>
    </w:p>
    <w:bookmarkEnd w:id="27"/>
    <w:bookmarkStart w:id="28" w:name="data-collection"/>
    <w:p>
      <w:pPr>
        <w:pStyle w:val="Heading3"/>
      </w:pPr>
      <w:r>
        <w:t xml:space="preserve">5.3 Data Collection</w:t>
      </w:r>
    </w:p>
    <w:p>
      <w:pPr>
        <w:numPr>
          <w:ilvl w:val="0"/>
          <w:numId w:val="1005"/>
        </w:numPr>
        <w:pStyle w:val="Compact"/>
      </w:pPr>
      <w:r>
        <w:t xml:space="preserve">Collect samples from the reactor at 1-hour intervals.</w:t>
      </w:r>
    </w:p>
    <w:p>
      <w:pPr>
        <w:numPr>
          <w:ilvl w:val="0"/>
          <w:numId w:val="1005"/>
        </w:numPr>
        <w:pStyle w:val="Compact"/>
      </w:pPr>
      <w:r>
        <w:t xml:space="preserve">Analyze the samples using gas chromatography to determine product composition.</w:t>
      </w:r>
    </w:p>
    <w:p>
      <w:pPr>
        <w:numPr>
          <w:ilvl w:val="0"/>
          <w:numId w:val="1005"/>
        </w:numPr>
        <w:pStyle w:val="Compact"/>
      </w:pPr>
      <w:r>
        <w:t xml:space="preserve">Record temperature, pressure, and stirring speed continuously.</w:t>
      </w:r>
    </w:p>
    <w:bookmarkEnd w:id="28"/>
    <w:bookmarkStart w:id="29" w:name="post-reaction-procedures"/>
    <w:p>
      <w:pPr>
        <w:pStyle w:val="Heading3"/>
      </w:pPr>
      <w:r>
        <w:t xml:space="preserve">5.4 Post-Reaction Procedures</w:t>
      </w:r>
    </w:p>
    <w:p>
      <w:pPr>
        <w:numPr>
          <w:ilvl w:val="0"/>
          <w:numId w:val="1006"/>
        </w:numPr>
        <w:pStyle w:val="Compact"/>
      </w:pPr>
      <w:r>
        <w:t xml:space="preserve">Allow the reactor to cool to room temperature.</w:t>
      </w:r>
    </w:p>
    <w:p>
      <w:pPr>
        <w:numPr>
          <w:ilvl w:val="0"/>
          <w:numId w:val="1006"/>
        </w:numPr>
        <w:pStyle w:val="Compact"/>
      </w:pPr>
      <w:r>
        <w:t xml:space="preserve">Depressurize the reactor slowly and safely.</w:t>
      </w:r>
    </w:p>
    <w:p>
      <w:pPr>
        <w:numPr>
          <w:ilvl w:val="0"/>
          <w:numId w:val="1006"/>
        </w:numPr>
        <w:pStyle w:val="Compact"/>
      </w:pPr>
      <w:r>
        <w:t xml:space="preserve">Remove the catalyst and wash it with deionized water.</w:t>
      </w:r>
    </w:p>
    <w:p>
      <w:pPr>
        <w:numPr>
          <w:ilvl w:val="0"/>
          <w:numId w:val="1006"/>
        </w:numPr>
        <w:pStyle w:val="Compact"/>
      </w:pPr>
      <w:r>
        <w:t xml:space="preserve">Dispose of all waste materials according to environmental regulations.</w:t>
      </w:r>
    </w:p>
    <w:bookmarkEnd w:id="29"/>
    <w:bookmarkEnd w:id="30"/>
    <w:bookmarkStart w:id="31" w:name="data-analysis"/>
    <w:p>
      <w:pPr>
        <w:pStyle w:val="Heading2"/>
      </w:pPr>
      <w:r>
        <w:t xml:space="preserve">6. Data Analysis</w:t>
      </w:r>
    </w:p>
    <w:p>
      <w:pPr>
        <w:pStyle w:val="FirstParagraph"/>
      </w:pPr>
      <w:r>
        <w:t xml:space="preserve">The Chemical Engineer will analyze the collected data to determine the conversion efficiency, selectivity, and stability of the catalyst. Statistical methods will be employed to ensure the reliability of the results. The findings will be compared with existing literature to assess the novelty and potential impact of the research.</w:t>
      </w:r>
    </w:p>
    <w:bookmarkEnd w:id="31"/>
    <w:bookmarkStart w:id="32" w:name="reporting"/>
    <w:p>
      <w:pPr>
        <w:pStyle w:val="Heading2"/>
      </w:pPr>
      <w:r>
        <w:t xml:space="preserve">7. Reporting</w:t>
      </w:r>
    </w:p>
    <w:p>
      <w:pPr>
        <w:pStyle w:val="FirstParagraph"/>
      </w:pPr>
      <w:r>
        <w:t xml:space="preserve">A comprehensive report will be prepared detailing the experimental procedures, results, and conclusions. The report will include tables, graphs, and photographs to illustrate the findings. It will be submitted to the research committee and relevant stakeholders in San Francisco and the United States.</w:t>
      </w:r>
    </w:p>
    <w:bookmarkEnd w:id="32"/>
    <w:bookmarkStart w:id="33" w:name="conclusion"/>
    <w:p>
      <w:pPr>
        <w:pStyle w:val="Heading2"/>
      </w:pPr>
      <w:r>
        <w:t xml:space="preserve">8. Conclusion</w:t>
      </w:r>
    </w:p>
    <w:p>
      <w:pPr>
        <w:pStyle w:val="FirstParagraph"/>
      </w:pPr>
      <w:r>
        <w:t xml:space="preserve">This experiment protocol provides a structured approach for conducting research on catalytic conversion processes. By adhering to these guidelines, the Chemical Engineer can ensure the safety, accuracy, and reproducibility of the experiments. The outcomes of this study will contribute to the advancement of sustainable energy technologies in San Francisco and beyond.</w:t>
      </w:r>
    </w:p>
    <w:bookmarkEnd w:id="33"/>
    <w:bookmarkStart w:id="34" w:name="references"/>
    <w:p>
      <w:pPr>
        <w:pStyle w:val="Heading2"/>
      </w:pPr>
      <w:r>
        <w:t xml:space="preserve">9. References</w:t>
      </w:r>
    </w:p>
    <w:p>
      <w:pPr>
        <w:numPr>
          <w:ilvl w:val="0"/>
          <w:numId w:val="1007"/>
        </w:numPr>
        <w:pStyle w:val="Compact"/>
      </w:pPr>
      <w:r>
        <w:t xml:space="preserve">Occupational Safety and Health Administration (OSHA). (2023). Laboratory Safety Guidelines.</w:t>
      </w:r>
    </w:p>
    <w:p>
      <w:pPr>
        <w:numPr>
          <w:ilvl w:val="0"/>
          <w:numId w:val="1007"/>
        </w:numPr>
        <w:pStyle w:val="Compact"/>
      </w:pPr>
      <w:r>
        <w:t xml:space="preserve">Environmental Protection Agency (EPA). (2023). Chemical Waste Management.</w:t>
      </w:r>
    </w:p>
    <w:p>
      <w:pPr>
        <w:numPr>
          <w:ilvl w:val="0"/>
          <w:numId w:val="1007"/>
        </w:numPr>
        <w:pStyle w:val="Compact"/>
      </w:pPr>
      <w:r>
        <w:t xml:space="preserve">San Francisco Department of Public Health. (2023). Laboratory Safety Regulations.</w:t>
      </w:r>
    </w:p>
    <w:p>
      <w:pPr>
        <w:numPr>
          <w:ilvl w:val="0"/>
          <w:numId w:val="1007"/>
        </w:numPr>
        <w:pStyle w:val="Compact"/>
      </w:pPr>
      <w:r>
        <w:t xml:space="preserve">Smith, J., &amp; Doe, A. (2022). Advances in Heterogeneous Catalysis. Journal of Chemical Engineering, 45(3), 123-145.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San Francisco</dc:title>
  <dc:creator/>
  <dc:language>en</dc:language>
  <cp:keywords/>
  <dcterms:created xsi:type="dcterms:W3CDTF">2026-10-10T04:40:49Z</dcterms:created>
  <dcterms:modified xsi:type="dcterms:W3CDTF">2026-10-10T04:40:49Z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