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Engineering</w:t>
      </w:r>
      <w:r>
        <w:t xml:space="preserve"> </w:t>
      </w:r>
      <w:r>
        <w:t xml:space="preserve">Research</w:t>
      </w:r>
      <w:r>
        <w:t xml:space="preserve"> </w:t>
      </w:r>
      <w:r>
        <w:t xml:space="preserve">in</w:t>
      </w:r>
      <w:r>
        <w:t xml:space="preserve"> </w:t>
      </w:r>
      <w:r>
        <w:t xml:space="preserve">Tashkent,</w:t>
      </w:r>
      <w:r>
        <w:t xml:space="preserve"> </w:t>
      </w:r>
      <w:r>
        <w:t xml:space="preserve">Uzbekistan</w:t>
      </w:r>
    </w:p>
    <w:bookmarkStart w:id="31" w:name="X1abdd211f08d80e4cca185e9c22cefa2cad3fb8"/>
    <w:p>
      <w:pPr>
        <w:pStyle w:val="Heading1"/>
      </w:pPr>
      <w:r>
        <w:t xml:space="preserve">Experiment Protocol: Optimization of Catalytic Processes for Petrochemical Refining</w:t>
      </w:r>
    </w:p>
    <w:p>
      <w:pPr>
        <w:pStyle w:val="FirstParagraph"/>
      </w:pPr>
      <w:r>
        <w:rPr>
          <w:bCs/>
          <w:b/>
        </w:rPr>
        <w:t xml:space="preserve">Project ID:</w:t>
      </w:r>
      <w:r>
        <w:t xml:space="preserve"> </w:t>
      </w:r>
      <w:r>
        <w:t xml:space="preserve">TASH-CE-2024-001</w:t>
      </w:r>
      <w:r>
        <w:br/>
      </w:r>
      <w:r>
        <w:rPr>
          <w:bCs/>
          <w:b/>
        </w:rPr>
        <w:t xml:space="preserve">Location:</w:t>
      </w:r>
      <w:r>
        <w:t xml:space="preserve"> </w:t>
      </w:r>
      <w:r>
        <w:t xml:space="preserve">Tashkent, Uzbekistan</w:t>
      </w:r>
      <w:r>
        <w:br/>
      </w:r>
      <w:r>
        <w:rPr>
          <w:bCs/>
          <w:b/>
        </w:rPr>
        <w:t xml:space="preserve">Facility:</w:t>
      </w:r>
      <w:r>
        <w:t xml:space="preserve"> </w:t>
      </w:r>
      <w:r>
        <w:t xml:space="preserve">Central Laboratory of Chemical Engineering, Tashkent</w:t>
      </w:r>
      <w:r>
        <w:br/>
      </w:r>
      <w:r>
        <w:rPr>
          <w:bCs/>
          <w:b/>
        </w:rPr>
        <w:t xml:space="preserve">Date:</w:t>
      </w:r>
      <w:r>
        <w:t xml:space="preserve"> </w:t>
      </w:r>
      <w:r>
        <w:t xml:space="preserve">October 24, 2024</w:t>
      </w:r>
    </w:p>
    <w:p>
      <w:pPr>
        <w:pStyle w:val="BodyText"/>
      </w:pPr>
      <w:r>
        <w:rPr>
          <w:bCs/>
          <w:b/>
        </w:rPr>
        <w:t xml:space="preserve">Lead Chemical Engineer:</w:t>
      </w:r>
      <w:r>
        <w:t xml:space="preserve"> </w:t>
      </w:r>
      <w:r>
        <w:t xml:space="preserve">Dr. A. Karimov</w:t>
      </w:r>
      <w:r>
        <w:br/>
      </w:r>
      <w:r>
        <w:rPr>
          <w:bCs/>
          <w:b/>
        </w:rPr>
        <w:t xml:space="preserve">Department:</w:t>
      </w:r>
      <w:r>
        <w:t xml:space="preserve"> </w:t>
      </w:r>
      <w:r>
        <w:t xml:space="preserve">Process Optimization &amp; Catalysis</w:t>
      </w:r>
      <w:r>
        <w:br/>
      </w:r>
      <w:r>
        <w:rPr>
          <w:bCs/>
          <w:b/>
        </w:rPr>
        <w:t xml:space="preserve">Classification:</w:t>
      </w:r>
      <w:r>
        <w:t xml:space="preserve"> </w:t>
      </w:r>
      <w:r>
        <w:t xml:space="preserve">Internal Research / Industrial Application</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the optimization of catalytic cracking processes relevant to the petrochemical industry in Uzbekistan. As Tashkent serves as the industrial and scientific hub of the nation, this research is critical for enhancing the efficiency of local refineries. The primary objective is to evaluate the performance of novel zeolite-based catalysts under varying thermal conditions to maximize the yield of high-octane gasoline components while minimizing waste byproducts.</w:t>
      </w:r>
    </w:p>
    <w:p>
      <w:pPr>
        <w:pStyle w:val="BodyText"/>
      </w:pPr>
      <w:r>
        <w:t xml:space="preserve">The Chemical Engineer leading this study is responsible for ensuring that all experimental parameters align with both international safety standards and the specific regulatory frameworks established by the Ministry of Emergency Situations of the Republic of Uzbekistan. This protocol is designed to provide a rigorous, reproducible methodology for testing catalyst efficacy in a controlled laboratory environment within Tashkent.</w:t>
      </w:r>
    </w:p>
    <w:bookmarkEnd w:id="20"/>
    <w:bookmarkStart w:id="21" w:name="scope-and-applicability"/>
    <w:p>
      <w:pPr>
        <w:pStyle w:val="Heading2"/>
      </w:pPr>
      <w:r>
        <w:t xml:space="preserve">2. Scope and Applicability</w:t>
      </w:r>
    </w:p>
    <w:p>
      <w:pPr>
        <w:pStyle w:val="FirstParagraph"/>
      </w:pPr>
      <w:r>
        <w:t xml:space="preserve">This protocol applies specifically to the experimental phase of the project conducted at the designated facility in Tashkent. It covers the preparation of feedstock, the operation of the fixed-bed reactor, and the subsequent analysis of product fractions. The scope includes the handling of hydrocarbon feedstocks typical of the Uzbek oil fields, ensuring that the results are directly applicable to the national energy sector.</w:t>
      </w:r>
    </w:p>
    <w:bookmarkEnd w:id="21"/>
    <w:bookmarkStart w:id="22" w:name="materials-and-equipment"/>
    <w:p>
      <w:pPr>
        <w:pStyle w:val="Heading2"/>
      </w:pPr>
      <w:r>
        <w:t xml:space="preserve">3. Materials and Equipment</w:t>
      </w:r>
    </w:p>
    <w:p>
      <w:pPr>
        <w:pStyle w:val="FirstParagraph"/>
      </w:pPr>
      <w:r>
        <w:t xml:space="preserve">The Chemical Engineer must verify the availability and calibration of the following equipment prior to commencing the experiment:</w:t>
      </w:r>
    </w:p>
    <w:p>
      <w:pPr>
        <w:numPr>
          <w:ilvl w:val="0"/>
          <w:numId w:val="1001"/>
        </w:numPr>
        <w:pStyle w:val="Compact"/>
      </w:pPr>
      <w:r>
        <w:rPr>
          <w:bCs/>
          <w:b/>
        </w:rPr>
        <w:t xml:space="preserve">Fixed-Bed Reactor System:</w:t>
      </w:r>
      <w:r>
        <w:t xml:space="preserve"> </w:t>
      </w:r>
      <w:r>
        <w:t xml:space="preserve">Capable of maintaining temperatures up to 600°C and pressures up to 50 bar.</w:t>
      </w:r>
    </w:p>
    <w:p>
      <w:pPr>
        <w:numPr>
          <w:ilvl w:val="0"/>
          <w:numId w:val="1001"/>
        </w:numPr>
        <w:pStyle w:val="Compact"/>
      </w:pPr>
      <w:r>
        <w:rPr>
          <w:bCs/>
          <w:b/>
        </w:rPr>
        <w:t xml:space="preserve">Feedstock:</w:t>
      </w:r>
      <w:r>
        <w:t xml:space="preserve"> </w:t>
      </w:r>
      <w:r>
        <w:t xml:space="preserve">Vacuum gas oil (VGO) sourced from local Uzbek refineries.</w:t>
      </w:r>
    </w:p>
    <w:p>
      <w:pPr>
        <w:numPr>
          <w:ilvl w:val="0"/>
          <w:numId w:val="1001"/>
        </w:numPr>
        <w:pStyle w:val="Compact"/>
      </w:pPr>
      <w:r>
        <w:rPr>
          <w:bCs/>
          <w:b/>
        </w:rPr>
        <w:t xml:space="preserve">Catalysts:</w:t>
      </w:r>
      <w:r>
        <w:t xml:space="preserve"> </w:t>
      </w:r>
      <w:r>
        <w:t xml:space="preserve">Zeolite Y and Zeolite ZSM-5 samples, prepared and characterized in-house.</w:t>
      </w:r>
    </w:p>
    <w:p>
      <w:pPr>
        <w:numPr>
          <w:ilvl w:val="0"/>
          <w:numId w:val="1001"/>
        </w:numPr>
        <w:pStyle w:val="Compact"/>
      </w:pPr>
      <w:r>
        <w:rPr>
          <w:bCs/>
          <w:b/>
        </w:rPr>
        <w:t xml:space="preserve">Gas Chromatograph (GC):</w:t>
      </w:r>
      <w:r>
        <w:t xml:space="preserve"> </w:t>
      </w:r>
      <w:r>
        <w:t xml:space="preserve">For detailed analysis of product composition.</w:t>
      </w:r>
    </w:p>
    <w:p>
      <w:pPr>
        <w:numPr>
          <w:ilvl w:val="0"/>
          <w:numId w:val="1001"/>
        </w:numPr>
        <w:pStyle w:val="Compact"/>
      </w:pPr>
      <w:r>
        <w:rPr>
          <w:bCs/>
          <w:b/>
        </w:rPr>
        <w:t xml:space="preserve">Safety Equipment:</w:t>
      </w:r>
      <w:r>
        <w:t xml:space="preserve"> </w:t>
      </w:r>
      <w:r>
        <w:t xml:space="preserve">Personal Protective Equipment (PPE) including heat-resistant gloves, safety goggles, and lab coats; emergency eyewash stations; and fire suppression systems compliant with Tashkent municipal codes.</w:t>
      </w:r>
    </w:p>
    <w:bookmarkEnd w:id="22"/>
    <w:bookmarkStart w:id="23" w:name="safety-precautions"/>
    <w:p>
      <w:pPr>
        <w:pStyle w:val="Heading2"/>
      </w:pPr>
      <w:r>
        <w:t xml:space="preserve">4. Safety Precautions</w:t>
      </w:r>
    </w:p>
    <w:p>
      <w:pPr>
        <w:pStyle w:val="FirstParagraph"/>
      </w:pPr>
      <w:r>
        <w:t xml:space="preserve">Safety is paramount in this experiment. The Chemical Engineer must ensure that all personnel are trained in handling hazardous chemicals and high-pressure systems. Specific precautions include:</w:t>
      </w:r>
    </w:p>
    <w:p>
      <w:pPr>
        <w:numPr>
          <w:ilvl w:val="0"/>
          <w:numId w:val="1002"/>
        </w:numPr>
        <w:pStyle w:val="Compact"/>
      </w:pPr>
      <w:r>
        <w:t xml:space="preserve">Conducting all operations involving volatile hydrocarbons in a certified fume hood.</w:t>
      </w:r>
    </w:p>
    <w:p>
      <w:pPr>
        <w:numPr>
          <w:ilvl w:val="0"/>
          <w:numId w:val="1002"/>
        </w:numPr>
        <w:pStyle w:val="Compact"/>
      </w:pPr>
      <w:r>
        <w:t xml:space="preserve">Ensuring that all gas lines are leak-tested before pressurization.</w:t>
      </w:r>
    </w:p>
    <w:p>
      <w:pPr>
        <w:numPr>
          <w:ilvl w:val="0"/>
          <w:numId w:val="1002"/>
        </w:numPr>
        <w:pStyle w:val="Compact"/>
      </w:pPr>
      <w:r>
        <w:t xml:space="preserve">Maintaining a clear evacuation route and ensuring that fire extinguishers are accessible and charged.</w:t>
      </w:r>
    </w:p>
    <w:p>
      <w:pPr>
        <w:numPr>
          <w:ilvl w:val="0"/>
          <w:numId w:val="1002"/>
        </w:numPr>
        <w:pStyle w:val="Compact"/>
      </w:pPr>
      <w:r>
        <w:t xml:space="preserve">Adhering to the waste disposal regulations of Uzbekistan, ensuring that chemical waste is segregated and disposed of by licensed contractors.</w:t>
      </w:r>
    </w:p>
    <w:bookmarkEnd w:id="23"/>
    <w:bookmarkStart w:id="28" w:name="experimental-procedure"/>
    <w:p>
      <w:pPr>
        <w:pStyle w:val="Heading2"/>
      </w:pPr>
      <w:r>
        <w:t xml:space="preserve">5. Experimental Procedure</w:t>
      </w:r>
    </w:p>
    <w:bookmarkStart w:id="24" w:name="catalyst-preparation"/>
    <w:p>
      <w:pPr>
        <w:pStyle w:val="Heading3"/>
      </w:pPr>
      <w:r>
        <w:t xml:space="preserve">5.1. Catalyst Preparation</w:t>
      </w:r>
    </w:p>
    <w:p>
      <w:pPr>
        <w:pStyle w:val="FirstParagraph"/>
      </w:pPr>
      <w:r>
        <w:t xml:space="preserve">The catalyst samples will be crushed and sieved to a particle size of 40-60 mesh. They will then be calcined in a muffle furnace at 550°C for 4 hours to remove any moisture or impurities. The Chemical Engineer must record the weight of the catalyst before and after calcination to determine the loss on ignition.</w:t>
      </w:r>
    </w:p>
    <w:bookmarkEnd w:id="24"/>
    <w:bookmarkStart w:id="25" w:name="reactor-setup"/>
    <w:p>
      <w:pPr>
        <w:pStyle w:val="Heading3"/>
      </w:pPr>
      <w:r>
        <w:t xml:space="preserve">5.2. Reactor Setup</w:t>
      </w:r>
    </w:p>
    <w:p>
      <w:pPr>
        <w:pStyle w:val="FirstParagraph"/>
      </w:pPr>
      <w:r>
        <w:t xml:space="preserve">The fixed-bed reactor will be loaded with the prepared catalyst. The reactor will be purged with nitrogen gas for 30 minutes to remove any air or moisture. The feedstock will be introduced using a high-pressure pump at a controlled flow rate.</w:t>
      </w:r>
    </w:p>
    <w:bookmarkEnd w:id="25"/>
    <w:bookmarkStart w:id="26" w:name="reaction-conditions"/>
    <w:p>
      <w:pPr>
        <w:pStyle w:val="Heading3"/>
      </w:pPr>
      <w:r>
        <w:t xml:space="preserve">5.3. Reaction Conditions</w:t>
      </w:r>
    </w:p>
    <w:p>
      <w:pPr>
        <w:pStyle w:val="FirstParagraph"/>
      </w:pPr>
      <w:r>
        <w:t xml:space="preserve">The experiment will be conducted at three different temperatures: 450°C, 500°C, and 550°C. The pressure will be maintained at 10 bar. The space velocity will be kept constant at 2 h</w:t>
      </w:r>
      <w:r>
        <w:rPr>
          <w:vertAlign w:val="superscript"/>
        </w:rPr>
        <w:t xml:space="preserve">-1</w:t>
      </w:r>
      <w:r>
        <w:t xml:space="preserve">. The Chemical Engineer must monitor the temperature and pressure continuously using calibrated sensors.</w:t>
      </w:r>
    </w:p>
    <w:bookmarkEnd w:id="26"/>
    <w:bookmarkStart w:id="27" w:name="product-collection-and-analysis"/>
    <w:p>
      <w:pPr>
        <w:pStyle w:val="Heading3"/>
      </w:pPr>
      <w:r>
        <w:t xml:space="preserve">5.4. Product Collection and Analysis</w:t>
      </w:r>
    </w:p>
    <w:p>
      <w:pPr>
        <w:pStyle w:val="FirstParagraph"/>
      </w:pPr>
      <w:r>
        <w:t xml:space="preserve">The product stream will be collected in cooled traps. The liquid products will be analyzed using gas chromatography to determine the composition of gasoline, diesel, and other fractions. The gaseous products will be analyzed for methane, ethane, propane, and butane content.</w:t>
      </w:r>
    </w:p>
    <w:bookmarkEnd w:id="27"/>
    <w:bookmarkEnd w:id="28"/>
    <w:bookmarkStart w:id="29" w:name="data-recording-and-analysis"/>
    <w:p>
      <w:pPr>
        <w:pStyle w:val="Heading2"/>
      </w:pPr>
      <w:r>
        <w:t xml:space="preserve">6. Data Recording and Analysis</w:t>
      </w:r>
    </w:p>
    <w:p>
      <w:pPr>
        <w:pStyle w:val="FirstParagraph"/>
      </w:pPr>
      <w:r>
        <w:t xml:space="preserve">All data must be recorded in the laboratory notebook and entered into the central database. The Chemical Engineer will calculate the conversion rate, selectivity, and yield for each run. Statistical analysis will be performed to determine the significance of the results. The data will be used to optimize the process conditions for industrial application in Tashkent.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Run ID</w:t>
            </w:r>
          </w:p>
        </w:tc>
        <w:tc>
          <w:tcPr/>
          <w:p>
            <w:pPr>
              <w:pStyle w:val="Compact"/>
              <w:jc w:val="left"/>
            </w:pPr>
            <w:r>
              <w:t xml:space="preserve">Temperature (°C)</w:t>
            </w:r>
          </w:p>
        </w:tc>
        <w:tc>
          <w:tcPr/>
          <w:p>
            <w:pPr>
              <w:pStyle w:val="Compact"/>
              <w:jc w:val="left"/>
            </w:pPr>
            <w:r>
              <w:t xml:space="preserve">Pressure (bar)</w:t>
            </w:r>
          </w:p>
        </w:tc>
        <w:tc>
          <w:tcPr/>
          <w:p>
            <w:pPr>
              <w:pStyle w:val="Compact"/>
              <w:jc w:val="left"/>
            </w:pPr>
            <w:r>
              <w:t xml:space="preserve">Conversion (%)</w:t>
            </w:r>
          </w:p>
        </w:tc>
        <w:tc>
          <w:tcPr/>
          <w:p>
            <w:pPr>
              <w:pStyle w:val="Compact"/>
              <w:jc w:val="left"/>
            </w:pPr>
            <w:r>
              <w:t xml:space="preserve">Gasoline Yield (%)</w:t>
            </w:r>
          </w:p>
        </w:tc>
        <w:tc>
          <w:tcPr/>
          <w:p>
            <w:pPr>
              <w:pStyle w:val="Compact"/>
              <w:jc w:val="left"/>
            </w:pPr>
            <w:r>
              <w:t xml:space="preserve">Notes</w:t>
            </w:r>
          </w:p>
        </w:tc>
      </w:tr>
      <w:tr>
        <w:tc>
          <w:tcPr/>
          <w:p>
            <w:pPr>
              <w:pStyle w:val="Compact"/>
              <w:jc w:val="left"/>
            </w:pPr>
            <w:r>
              <w:t xml:space="preserve">TASH-001</w:t>
            </w:r>
          </w:p>
        </w:tc>
        <w:tc>
          <w:tcPr/>
          <w:p>
            <w:pPr>
              <w:pStyle w:val="Compact"/>
              <w:jc w:val="left"/>
            </w:pPr>
            <w:r>
              <w:t xml:space="preserve">450</w:t>
            </w:r>
          </w:p>
        </w:tc>
        <w:tc>
          <w:tcPr/>
          <w:p>
            <w:pPr>
              <w:pStyle w:val="Compact"/>
              <w:jc w:val="left"/>
            </w:pPr>
            <w:r>
              <w:t xml:space="preserve">10</w:t>
            </w:r>
          </w:p>
        </w:tc>
        <w:tc>
          <w:tcPr/>
          <w:p>
            <w:pPr>
              <w:pStyle w:val="Compact"/>
              <w:jc w:val="left"/>
            </w:pPr>
            <w:r>
              <w:t xml:space="preserve">-</w:t>
            </w:r>
          </w:p>
        </w:tc>
        <w:tc>
          <w:tcPr/>
          <w:p>
            <w:pPr>
              <w:pStyle w:val="Compact"/>
              <w:jc w:val="left"/>
            </w:pPr>
            <w:r>
              <w:t xml:space="preserve">-</w:t>
            </w:r>
          </w:p>
        </w:tc>
        <w:tc>
          <w:tcPr/>
          <w:p>
            <w:pPr>
              <w:pStyle w:val="Compact"/>
              <w:jc w:val="left"/>
            </w:pPr>
            <w:r>
              <w:t xml:space="preserve">Initial test</w:t>
            </w:r>
          </w:p>
        </w:tc>
      </w:tr>
      <w:tr>
        <w:tc>
          <w:tcPr/>
          <w:p>
            <w:pPr>
              <w:pStyle w:val="Compact"/>
              <w:jc w:val="left"/>
            </w:pPr>
            <w:r>
              <w:t xml:space="preserve">TASH-002</w:t>
            </w:r>
          </w:p>
        </w:tc>
        <w:tc>
          <w:tcPr/>
          <w:p>
            <w:pPr>
              <w:pStyle w:val="Compact"/>
              <w:jc w:val="left"/>
            </w:pPr>
            <w:r>
              <w:t xml:space="preserve">500</w:t>
            </w:r>
          </w:p>
        </w:tc>
        <w:tc>
          <w:tcPr/>
          <w:p>
            <w:pPr>
              <w:pStyle w:val="Compact"/>
              <w:jc w:val="left"/>
            </w:pPr>
            <w:r>
              <w:t xml:space="preserve">10</w:t>
            </w:r>
          </w:p>
        </w:tc>
        <w:tc>
          <w:tcPr/>
          <w:p>
            <w:pPr>
              <w:pStyle w:val="Compact"/>
              <w:jc w:val="left"/>
            </w:pPr>
            <w:r>
              <w:t xml:space="preserve">-</w:t>
            </w:r>
          </w:p>
        </w:tc>
        <w:tc>
          <w:tcPr/>
          <w:p>
            <w:pPr>
              <w:pStyle w:val="Compact"/>
              <w:jc w:val="left"/>
            </w:pPr>
            <w:r>
              <w:t xml:space="preserve">-</w:t>
            </w:r>
          </w:p>
        </w:tc>
        <w:tc>
          <w:tcPr/>
          <w:p>
            <w:pPr>
              <w:pStyle w:val="Compact"/>
              <w:jc w:val="left"/>
            </w:pPr>
            <w:r>
              <w:t xml:space="preserve">Optimization phase</w:t>
            </w:r>
          </w:p>
        </w:tc>
      </w:tr>
      <w:tr>
        <w:tc>
          <w:tcPr/>
          <w:p>
            <w:pPr>
              <w:pStyle w:val="Compact"/>
              <w:jc w:val="left"/>
            </w:pPr>
            <w:r>
              <w:t xml:space="preserve">TASH-003</w:t>
            </w:r>
          </w:p>
        </w:tc>
        <w:tc>
          <w:tcPr/>
          <w:p>
            <w:pPr>
              <w:pStyle w:val="Compact"/>
              <w:jc w:val="left"/>
            </w:pPr>
            <w:r>
              <w:t xml:space="preserve">550</w:t>
            </w:r>
          </w:p>
        </w:tc>
        <w:tc>
          <w:tcPr/>
          <w:p>
            <w:pPr>
              <w:pStyle w:val="Compact"/>
              <w:jc w:val="left"/>
            </w:pPr>
            <w:r>
              <w:t xml:space="preserve">10</w:t>
            </w:r>
          </w:p>
        </w:tc>
        <w:tc>
          <w:tcPr/>
          <w:p>
            <w:pPr>
              <w:pStyle w:val="Compact"/>
              <w:jc w:val="left"/>
            </w:pPr>
            <w:r>
              <w:t xml:space="preserve">-</w:t>
            </w:r>
          </w:p>
        </w:tc>
        <w:tc>
          <w:tcPr/>
          <w:p>
            <w:pPr>
              <w:pStyle w:val="Compact"/>
              <w:jc w:val="left"/>
            </w:pPr>
            <w:r>
              <w:t xml:space="preserve">-</w:t>
            </w:r>
          </w:p>
        </w:tc>
        <w:tc>
          <w:tcPr/>
          <w:p>
            <w:pPr>
              <w:pStyle w:val="Compact"/>
              <w:jc w:val="left"/>
            </w:pPr>
            <w:r>
              <w:t xml:space="preserve">High-temperature test</w:t>
            </w:r>
          </w:p>
        </w:tc>
      </w:tr>
    </w:tbl>
    <w:bookmarkEnd w:id="29"/>
    <w:bookmarkStart w:id="30" w:name="conclusion-and-reporting"/>
    <w:p>
      <w:pPr>
        <w:pStyle w:val="Heading2"/>
      </w:pPr>
      <w:r>
        <w:t xml:space="preserve">7. Conclusion and Reporting</w:t>
      </w:r>
    </w:p>
    <w:p>
      <w:pPr>
        <w:pStyle w:val="FirstParagraph"/>
      </w:pPr>
      <w:r>
        <w:t xml:space="preserve">Upon completion of the experiment, the Chemical Engineer will prepare a detailed report summarizing the findings. The report will include recommendations for process optimization and potential industrial implementation in Uzbekistan. The results will be presented to the project stakeholders and may be submitted for publication in scientific journals.</w:t>
      </w:r>
    </w:p>
    <w:bookmarkEnd w:id="30"/>
    <w:p>
      <w:pPr>
        <w:pStyle w:val="BodyText"/>
      </w:pPr>
      <w:r>
        <w:rPr>
          <w:bCs/>
          <w:b/>
        </w:rPr>
        <w:t xml:space="preserve">Lead Chemical Engineer</w:t>
      </w:r>
      <w:r>
        <w:br/>
      </w:r>
      <w:r>
        <w:t xml:space="preserve">Signature: ______________________</w:t>
      </w:r>
      <w:r>
        <w:br/>
      </w:r>
      <w:r>
        <w:t xml:space="preserve">Date: ______________________</w:t>
      </w:r>
    </w:p>
    <w:p>
      <w:pPr>
        <w:pStyle w:val="BodyText"/>
      </w:pPr>
      <w:r>
        <w:rPr>
          <w:bCs/>
          <w:b/>
        </w:rPr>
        <w:t xml:space="preserve">Lab Supervisor</w:t>
      </w:r>
      <w:r>
        <w:br/>
      </w:r>
      <w:r>
        <w:t xml:space="preserve">Signature: ______________________</w:t>
      </w:r>
      <w:r>
        <w:br/>
      </w:r>
      <w:r>
        <w:t xml:space="preserve">Date: ______________________</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Engineering Research in Tashkent, Uzbekistan</dc:title>
  <dc:creator/>
  <dc:language>en</dc:language>
  <cp:keywords/>
  <dcterms:created xsi:type="dcterms:W3CDTF">2026-10-10T08:02:26Z</dcterms:created>
  <dcterms:modified xsi:type="dcterms:W3CDTF">2026-10-10T08:02:26Z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