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Purification</w:t>
      </w:r>
      <w:r>
        <w:t xml:space="preserve"> </w:t>
      </w:r>
      <w:r>
        <w:t xml:space="preserve">via</w:t>
      </w:r>
      <w:r>
        <w:t xml:space="preserve"> </w:t>
      </w:r>
      <w:r>
        <w:t xml:space="preserve">Localized</w:t>
      </w:r>
      <w:r>
        <w:t xml:space="preserve"> </w:t>
      </w:r>
      <w:r>
        <w:t xml:space="preserve">Adsorbents</w:t>
      </w:r>
    </w:p>
    <w:bookmarkStart w:id="20" w:name="X4589d2e6cb6a4f49c05e848e54488bbe0c90f55"/>
    <w:p>
      <w:pPr>
        <w:pStyle w:val="Heading1"/>
      </w:pPr>
      <w:r>
        <w:t xml:space="preserve">Experiment Protocol: Optimization of Low-Cost Adsorbents for Heavy Metal Removal</w:t>
      </w:r>
    </w:p>
    <w:p>
      <w:pPr>
        <w:pStyle w:val="FirstParagraph"/>
      </w:pPr>
      <w:r>
        <w:rPr>
          <w:bCs/>
          <w:b/>
        </w:rPr>
        <w:t xml:space="preserve">Document ID:</w:t>
      </w:r>
      <w:r>
        <w:t xml:space="preserve"> </w:t>
      </w:r>
      <w:r>
        <w:t xml:space="preserve">ZW-CE-EXP-2023-004</w:t>
      </w:r>
    </w:p>
    <w:p>
      <w:pPr>
        <w:pStyle w:val="BodyText"/>
      </w:pPr>
      <w:r>
        <w:rPr>
          <w:bCs/>
          <w:b/>
        </w:rPr>
        <w:t xml:space="preserve">Location:</w:t>
      </w:r>
      <w:r>
        <w:t xml:space="preserve"> </w:t>
      </w:r>
      <w:r>
        <w:t xml:space="preserve">Department of Chemical Engineering, University of Zimbabwe, Harare</w:t>
      </w:r>
    </w:p>
    <w:p>
      <w:pPr>
        <w:pStyle w:val="BodyText"/>
      </w:pPr>
      <w:r>
        <w:rPr>
          <w:bCs/>
          <w:b/>
        </w:rPr>
        <w:t xml:space="preserve">Discipline:</w:t>
      </w:r>
      <w:r>
        <w:t xml:space="preserve"> </w:t>
      </w:r>
      <w:r>
        <w:t xml:space="preserve">Chemical Engineering / Environmental Technology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Lead Chemical Engineer Research Team</w:t>
      </w:r>
    </w:p>
    <w:bookmarkEnd w:id="20"/>
    <w:bookmarkStart w:id="21" w:name="introduction-and-context"/>
    <w:p>
      <w:pPr>
        <w:pStyle w:val="Heading2"/>
      </w:pPr>
      <w:r>
        <w:t xml:space="preserve">1. Introduction and Context</w:t>
      </w:r>
    </w:p>
    <w:p>
      <w:pPr>
        <w:pStyle w:val="FirstParagraph"/>
      </w:pPr>
      <w:r>
        <w:t xml:space="preserve">This Experiment Protocol outlines the standardized procedures for evaluating the efficacy of locally sourced agricultural waste as adsorbents for removing heavy metals from industrial wastewater. This research is critical for the context of</w:t>
      </w:r>
      <w:r>
        <w:t xml:space="preserve"> </w:t>
      </w:r>
      <w:r>
        <w:rPr>
          <w:bCs/>
          <w:b/>
        </w:rPr>
        <w:t xml:space="preserve">Zimbabwe Harare</w:t>
      </w:r>
      <w:r>
        <w:t xml:space="preserve">, where rapid industrialization has led to increased effluent discharge into local water bodies, posing significant risks to public health and the ecosystem.</w:t>
      </w:r>
    </w:p>
    <w:p>
      <w:pPr>
        <w:pStyle w:val="BodyText"/>
      </w:pPr>
      <w:r>
        <w:t xml:space="preserve">The role of the</w:t>
      </w:r>
      <w:r>
        <w:t xml:space="preserve"> </w:t>
      </w:r>
      <w:r>
        <w:rPr>
          <w:bCs/>
          <w:b/>
        </w:rPr>
        <w:t xml:space="preserve">Chemical Engineer</w:t>
      </w:r>
      <w:r>
        <w:t xml:space="preserve"> </w:t>
      </w:r>
      <w:r>
        <w:t xml:space="preserve">in this study is paramount. It requires the application of transport phenomena, reaction engineering, and thermodynamics to design a scalable purification process. The primary objective is to develop a cost-effective, sustainable water treatment solution that utilizes abundant local biomass, such as maize cobs or peanut shells, thereby addressing both waste management and water quality challenges specific to the Harare region.</w:t>
      </w:r>
    </w:p>
    <w:bookmarkEnd w:id="21"/>
    <w:bookmarkStart w:id="22" w:name="safety-and-risk-assessment"/>
    <w:p>
      <w:pPr>
        <w:pStyle w:val="Heading2"/>
      </w:pPr>
      <w:r>
        <w:t xml:space="preserve">2. Safety and Risk Assessment</w:t>
      </w:r>
    </w:p>
    <w:p>
      <w:pPr>
        <w:pStyle w:val="FirstParagraph"/>
      </w:pPr>
      <w:r>
        <w:rPr>
          <w:bCs/>
          <w:b/>
        </w:rPr>
        <w:t xml:space="preserve">CRITICAL SAFETY NOTICE:</w:t>
      </w:r>
      <w:r>
        <w:t xml:space="preserve"> </w:t>
      </w:r>
      <w:r>
        <w:t xml:space="preserve">All personnel must adhere to the Occupational Safety and Health Act of Zimbabwe. Personal Protective Equipment (PPE) is mandatory.</w:t>
      </w:r>
    </w:p>
    <w:p>
      <w:pPr>
        <w:pStyle w:val="BodyText"/>
      </w:pPr>
      <w:r>
        <w:t xml:space="preserve">The</w:t>
      </w:r>
      <w:r>
        <w:t xml:space="preserve"> </w:t>
      </w:r>
      <w:r>
        <w:rPr>
          <w:bCs/>
          <w:b/>
        </w:rPr>
        <w:t xml:space="preserve">Chemical Engineer</w:t>
      </w:r>
      <w:r>
        <w:t xml:space="preserve"> </w:t>
      </w:r>
      <w:r>
        <w:t xml:space="preserve">overseeing this experiment must ensure that all safety protocols are strictly followed. The laboratory environment in</w:t>
      </w:r>
      <w:r>
        <w:t xml:space="preserve"> </w:t>
      </w:r>
      <w:r>
        <w:rPr>
          <w:bCs/>
          <w:b/>
        </w:rPr>
        <w:t xml:space="preserve">Zimbabwe Harare</w:t>
      </w:r>
      <w:r>
        <w:t xml:space="preserve"> </w:t>
      </w:r>
      <w:r>
        <w:t xml:space="preserve">must be equipped with functional fume hoods, eyewash stations, and emergency showers.</w:t>
      </w:r>
    </w:p>
    <w:p>
      <w:pPr>
        <w:numPr>
          <w:ilvl w:val="0"/>
          <w:numId w:val="1001"/>
        </w:numPr>
        <w:pStyle w:val="Compact"/>
      </w:pPr>
      <w:r>
        <w:rPr>
          <w:bCs/>
          <w:b/>
        </w:rPr>
        <w:t xml:space="preserve">Chemical Hazards:</w:t>
      </w:r>
      <w:r>
        <w:t xml:space="preserve"> </w:t>
      </w:r>
      <w:r>
        <w:t xml:space="preserve">Handling of heavy metal solutions (Lead, Cadmium, Chromium) requires nitrile gloves and lab coats. These substances are toxic and carcinogenic.</w:t>
      </w:r>
    </w:p>
    <w:p>
      <w:pPr>
        <w:numPr>
          <w:ilvl w:val="0"/>
          <w:numId w:val="1001"/>
        </w:numPr>
        <w:pStyle w:val="Compact"/>
      </w:pPr>
      <w:r>
        <w:rPr>
          <w:bCs/>
          <w:b/>
        </w:rPr>
        <w:t xml:space="preserve">Physical Hazards:</w:t>
      </w:r>
      <w:r>
        <w:t xml:space="preserve"> </w:t>
      </w:r>
      <w:r>
        <w:t xml:space="preserve">Use of heating mantles and glassware requires caution to prevent burns and cuts.</w:t>
      </w:r>
    </w:p>
    <w:p>
      <w:pPr>
        <w:numPr>
          <w:ilvl w:val="0"/>
          <w:numId w:val="1001"/>
        </w:numPr>
        <w:pStyle w:val="Compact"/>
      </w:pPr>
      <w:r>
        <w:rPr>
          <w:bCs/>
          <w:b/>
        </w:rPr>
        <w:t xml:space="preserve">Waste Disposal:</w:t>
      </w:r>
      <w:r>
        <w:t xml:space="preserve"> </w:t>
      </w:r>
      <w:r>
        <w:t xml:space="preserve">All contaminated materials must be segregated and disposed of according to the Environmental Management Agency (EMA) of Zimbabwe regulations.</w:t>
      </w:r>
    </w:p>
    <w:bookmarkEnd w:id="22"/>
    <w:bookmarkStart w:id="23" w:name="materials-and-equipment"/>
    <w:p>
      <w:pPr>
        <w:pStyle w:val="Heading2"/>
      </w:pPr>
      <w:r>
        <w:t xml:space="preserve">3. Materials and Equipment</w:t>
      </w:r>
    </w:p>
    <w:p>
      <w:pPr>
        <w:pStyle w:val="FirstParagraph"/>
      </w:pPr>
      <w:r>
        <w:t xml:space="preserve">The following materials are required to execute this protocol. The selection of materials considers availability within the Harare supply chain to ensure reproducibility.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Adsorbent Material</w:t>
            </w:r>
          </w:p>
        </w:tc>
        <w:tc>
          <w:tcPr/>
          <w:p>
            <w:pPr>
              <w:pStyle w:val="Compact"/>
              <w:jc w:val="left"/>
            </w:pPr>
            <w:r>
              <w:t xml:space="preserve">Carbonized Maize Cobs (Locally sourced)</w:t>
            </w:r>
          </w:p>
        </w:tc>
        <w:tc>
          <w:tcPr/>
          <w:p>
            <w:pPr>
              <w:pStyle w:val="Compact"/>
              <w:jc w:val="left"/>
            </w:pPr>
            <w:r>
              <w:t xml:space="preserve">500g</w:t>
            </w:r>
          </w:p>
        </w:tc>
      </w:tr>
      <w:tr>
        <w:tc>
          <w:tcPr/>
          <w:p>
            <w:pPr>
              <w:pStyle w:val="Compact"/>
              <w:jc w:val="left"/>
            </w:pPr>
            <w:r>
              <w:t xml:space="preserve">Heavy Metal Solution</w:t>
            </w:r>
          </w:p>
        </w:tc>
        <w:tc>
          <w:tcPr/>
          <w:p>
            <w:pPr>
              <w:pStyle w:val="Compact"/>
              <w:jc w:val="left"/>
            </w:pPr>
            <w:r>
              <w:t xml:space="preserve">Lead Nitrate (Pb(NO3)2) - 1000 ppm stock</w:t>
            </w:r>
          </w:p>
        </w:tc>
        <w:tc>
          <w:tcPr/>
          <w:p>
            <w:pPr>
              <w:pStyle w:val="Compact"/>
              <w:jc w:val="left"/>
            </w:pPr>
            <w:r>
              <w:t xml:space="preserve">1L</w:t>
            </w:r>
          </w:p>
        </w:tc>
      </w:tr>
      <w:tr>
        <w:tc>
          <w:tcPr/>
          <w:p>
            <w:pPr>
              <w:pStyle w:val="Compact"/>
              <w:jc w:val="left"/>
            </w:pPr>
            <w:r>
              <w:t xml:space="preserve">Shaker Incubator</w:t>
            </w:r>
          </w:p>
        </w:tc>
        <w:tc>
          <w:tcPr/>
          <w:p>
            <w:pPr>
              <w:pStyle w:val="Compact"/>
              <w:jc w:val="left"/>
            </w:pPr>
            <w:r>
              <w:t xml:space="preserve">Orbital, adjustable speed (50-200 rpm)</w:t>
            </w:r>
          </w:p>
        </w:tc>
        <w:tc>
          <w:tcPr/>
          <w:p>
            <w:pPr>
              <w:pStyle w:val="Compact"/>
              <w:jc w:val="left"/>
            </w:pPr>
            <w:r>
              <w:t xml:space="preserve">1 Unit</w:t>
            </w:r>
          </w:p>
        </w:tc>
      </w:tr>
      <w:tr>
        <w:tc>
          <w:tcPr/>
          <w:p>
            <w:pPr>
              <w:pStyle w:val="Compact"/>
              <w:jc w:val="left"/>
            </w:pPr>
            <w:r>
              <w:t xml:space="preserve">pH Meter</w:t>
            </w:r>
          </w:p>
        </w:tc>
        <w:tc>
          <w:tcPr/>
          <w:p>
            <w:pPr>
              <w:pStyle w:val="Compact"/>
              <w:jc w:val="left"/>
            </w:pPr>
            <w:r>
              <w:t xml:space="preserve">Calibrated digital meter</w:t>
            </w:r>
          </w:p>
        </w:tc>
        <w:tc>
          <w:tcPr/>
          <w:p>
            <w:pPr>
              <w:pStyle w:val="Compact"/>
              <w:jc w:val="left"/>
            </w:pPr>
            <w:r>
              <w:t xml:space="preserve">1 Unit</w:t>
            </w:r>
          </w:p>
        </w:tc>
      </w:tr>
      <w:tr>
        <w:tc>
          <w:tcPr/>
          <w:p>
            <w:pPr>
              <w:pStyle w:val="Compact"/>
              <w:jc w:val="left"/>
            </w:pPr>
            <w:r>
              <w:t xml:space="preserve">Atomic Absorption Spectrophotometer (AAS)</w:t>
            </w:r>
          </w:p>
        </w:tc>
        <w:tc>
          <w:tcPr/>
          <w:p>
            <w:pPr>
              <w:pStyle w:val="Compact"/>
              <w:jc w:val="left"/>
            </w:pPr>
            <w:r>
              <w:t xml:space="preserve">For metal concentration analysis</w:t>
            </w:r>
          </w:p>
        </w:tc>
        <w:tc>
          <w:tcPr/>
          <w:p>
            <w:pPr>
              <w:pStyle w:val="Compact"/>
              <w:jc w:val="left"/>
            </w:pPr>
            <w:r>
              <w:t xml:space="preserve">1 Unit</w:t>
            </w:r>
          </w:p>
        </w:tc>
      </w:tr>
      <w:tr>
        <w:tc>
          <w:tcPr/>
          <w:p>
            <w:pPr>
              <w:pStyle w:val="Compact"/>
              <w:jc w:val="left"/>
            </w:pPr>
            <w:r>
              <w:t xml:space="preserve">Filter Paper</w:t>
            </w:r>
          </w:p>
        </w:tc>
        <w:tc>
          <w:tcPr/>
          <w:p>
            <w:pPr>
              <w:pStyle w:val="Compact"/>
              <w:jc w:val="left"/>
            </w:pPr>
            <w:r>
              <w:t xml:space="preserve">Whatman No. 1</w:t>
            </w:r>
          </w:p>
        </w:tc>
        <w:tc>
          <w:tcPr/>
          <w:p>
            <w:pPr>
              <w:pStyle w:val="Compact"/>
              <w:jc w:val="left"/>
            </w:pPr>
            <w:r>
              <w:t xml:space="preserve">20 Sheets</w:t>
            </w:r>
          </w:p>
        </w:tc>
      </w:tr>
    </w:tbl>
    <w:bookmarkEnd w:id="23"/>
    <w:bookmarkStart w:id="27" w:name="experimental-procedure"/>
    <w:p>
      <w:pPr>
        <w:pStyle w:val="Heading2"/>
      </w:pPr>
      <w:r>
        <w:t xml:space="preserve">4. Experimental Procedure</w:t>
      </w:r>
    </w:p>
    <w:p>
      <w:pPr>
        <w:pStyle w:val="FirstParagraph"/>
      </w:pPr>
      <w:r>
        <w:t xml:space="preserve">The</w:t>
      </w:r>
      <w:r>
        <w:t xml:space="preserve"> </w:t>
      </w:r>
      <w:r>
        <w:rPr>
          <w:bCs/>
          <w:b/>
        </w:rPr>
        <w:t xml:space="preserve">Chemical Engineer</w:t>
      </w:r>
      <w:r>
        <w:t xml:space="preserve"> </w:t>
      </w:r>
      <w:r>
        <w:t xml:space="preserve">must execute the following steps with precision to ensure data integrity. This protocol is designed to test batch adsorption kinetics and equilibrium.</w:t>
      </w:r>
    </w:p>
    <w:bookmarkStart w:id="24" w:name="preparation-of-adsorbent"/>
    <w:p>
      <w:pPr>
        <w:pStyle w:val="Heading3"/>
      </w:pPr>
      <w:r>
        <w:t xml:space="preserve">4.1. Preparation of Adsorbent</w:t>
      </w:r>
    </w:p>
    <w:p>
      <w:pPr>
        <w:numPr>
          <w:ilvl w:val="0"/>
          <w:numId w:val="1002"/>
        </w:numPr>
        <w:pStyle w:val="Compact"/>
      </w:pPr>
      <w:r>
        <w:t xml:space="preserve">Collect maize cobs from local suppliers in Harare.</w:t>
      </w:r>
    </w:p>
    <w:p>
      <w:pPr>
        <w:numPr>
          <w:ilvl w:val="0"/>
          <w:numId w:val="1002"/>
        </w:numPr>
        <w:pStyle w:val="Compact"/>
      </w:pPr>
      <w:r>
        <w:t xml:space="preserve">Clean the cobs thoroughly with distilled water to remove dust and organic impurities.</w:t>
      </w:r>
    </w:p>
    <w:p>
      <w:pPr>
        <w:numPr>
          <w:ilvl w:val="0"/>
          <w:numId w:val="1002"/>
        </w:numPr>
        <w:pStyle w:val="Compact"/>
      </w:pPr>
      <w:r>
        <w:t xml:space="preserve">Dry the cobs in an oven at 105°C for 24 hours.</w:t>
      </w:r>
    </w:p>
    <w:p>
      <w:pPr>
        <w:numPr>
          <w:ilvl w:val="0"/>
          <w:numId w:val="1002"/>
        </w:numPr>
        <w:pStyle w:val="Compact"/>
      </w:pPr>
      <w:r>
        <w:t xml:space="preserve">Carbonize the dried cobs in a muffle furnace at 500°C for 2 hours under a nitrogen atmosphere.</w:t>
      </w:r>
    </w:p>
    <w:p>
      <w:pPr>
        <w:numPr>
          <w:ilvl w:val="0"/>
          <w:numId w:val="1002"/>
        </w:numPr>
        <w:pStyle w:val="Compact"/>
      </w:pPr>
      <w:r>
        <w:t xml:space="preserve">Grind the resulting biochar and sieve to obtain a particle size between 0.25mm and 0.5mm.</w:t>
      </w:r>
    </w:p>
    <w:bookmarkEnd w:id="24"/>
    <w:bookmarkStart w:id="25" w:name="batch-adsorption-experiments"/>
    <w:p>
      <w:pPr>
        <w:pStyle w:val="Heading3"/>
      </w:pPr>
      <w:r>
        <w:t xml:space="preserve">4.2. Batch Adsorption Experiments</w:t>
      </w:r>
    </w:p>
    <w:p>
      <w:pPr>
        <w:numPr>
          <w:ilvl w:val="0"/>
          <w:numId w:val="1003"/>
        </w:numPr>
        <w:pStyle w:val="Compact"/>
      </w:pPr>
      <w:r>
        <w:t xml:space="preserve">Prepare 100mL aliquots of Lead Nitrate solution with an initial concentration of 50 ppm in conical flasks.</w:t>
      </w:r>
    </w:p>
    <w:p>
      <w:pPr>
        <w:numPr>
          <w:ilvl w:val="0"/>
          <w:numId w:val="1003"/>
        </w:numPr>
        <w:pStyle w:val="Compact"/>
      </w:pPr>
      <w:r>
        <w:t xml:space="preserve">Adjust the pH of each solution to 5.0 using 0.1M HCl or NaOH. This pH is selected to prevent metal precipitation while maximizing adsorption.</w:t>
      </w:r>
    </w:p>
    <w:p>
      <w:pPr>
        <w:numPr>
          <w:ilvl w:val="0"/>
          <w:numId w:val="1003"/>
        </w:numPr>
        <w:pStyle w:val="Compact"/>
      </w:pPr>
      <w:r>
        <w:t xml:space="preserve">Add varying masses of the prepared biochar (0.5g, 1.0g, 1.5g, 2.0g) to separate flasks.</w:t>
      </w:r>
    </w:p>
    <w:p>
      <w:pPr>
        <w:numPr>
          <w:ilvl w:val="0"/>
          <w:numId w:val="1003"/>
        </w:numPr>
        <w:pStyle w:val="Compact"/>
      </w:pPr>
      <w:r>
        <w:t xml:space="preserve">Place the flasks on the orbital shaker set at 150 rpm and 25°C.</w:t>
      </w:r>
    </w:p>
    <w:p>
      <w:pPr>
        <w:numPr>
          <w:ilvl w:val="0"/>
          <w:numId w:val="1003"/>
        </w:numPr>
        <w:pStyle w:val="Compact"/>
      </w:pPr>
      <w:r>
        <w:t xml:space="preserve">Allow the system to run for 24 hours to reach equilibrium.</w:t>
      </w:r>
    </w:p>
    <w:p>
      <w:pPr>
        <w:numPr>
          <w:ilvl w:val="0"/>
          <w:numId w:val="1003"/>
        </w:numPr>
        <w:pStyle w:val="Compact"/>
      </w:pPr>
      <w:r>
        <w:t xml:space="preserve">At specific time intervals (15, 30, 60, 120, 240 minutes), withdraw 5mL samples and filter immediately.</w:t>
      </w:r>
    </w:p>
    <w:bookmarkEnd w:id="25"/>
    <w:bookmarkStart w:id="26" w:name="analysis"/>
    <w:p>
      <w:pPr>
        <w:pStyle w:val="Heading3"/>
      </w:pPr>
      <w:r>
        <w:t xml:space="preserve">4.3. Analysis</w:t>
      </w:r>
    </w:p>
    <w:p>
      <w:pPr>
        <w:numPr>
          <w:ilvl w:val="0"/>
          <w:numId w:val="1004"/>
        </w:numPr>
        <w:pStyle w:val="Compact"/>
      </w:pPr>
      <w:r>
        <w:t xml:space="preserve">Analyze the filtered samples using the Atomic Absorption Spectrophotometer (AAS) to determine the residual concentration of Lead.</w:t>
      </w:r>
    </w:p>
    <w:p>
      <w:pPr>
        <w:numPr>
          <w:ilvl w:val="0"/>
          <w:numId w:val="1004"/>
        </w:numPr>
        <w:pStyle w:val="Compact"/>
      </w:pPr>
      <w:r>
        <w:t xml:space="preserve">Calculate the adsorption capacity (q) and removal efficiency (%) using standard chemical engineering mass balance equations.</w:t>
      </w:r>
    </w:p>
    <w:bookmarkEnd w:id="26"/>
    <w:bookmarkEnd w:id="27"/>
    <w:bookmarkStart w:id="28" w:name="data-analysis-and-reporting"/>
    <w:p>
      <w:pPr>
        <w:pStyle w:val="Heading2"/>
      </w:pPr>
      <w:r>
        <w:t xml:space="preserve">5. Data Analysis and Reporting</w:t>
      </w:r>
    </w:p>
    <w:p>
      <w:pPr>
        <w:pStyle w:val="FirstParagraph"/>
      </w:pPr>
      <w:r>
        <w:t xml:space="preserve">The</w:t>
      </w:r>
      <w:r>
        <w:t xml:space="preserve"> </w:t>
      </w:r>
      <w:r>
        <w:rPr>
          <w:bCs/>
          <w:b/>
        </w:rPr>
        <w:t xml:space="preserve">Chemical Engineer</w:t>
      </w:r>
      <w:r>
        <w:t xml:space="preserve"> </w:t>
      </w:r>
      <w:r>
        <w:t xml:space="preserve">is responsible for interpreting the data to model the adsorption process. The following analyses must be performed:</w:t>
      </w:r>
    </w:p>
    <w:p>
      <w:pPr>
        <w:numPr>
          <w:ilvl w:val="0"/>
          <w:numId w:val="1005"/>
        </w:numPr>
        <w:pStyle w:val="Compact"/>
      </w:pPr>
      <w:r>
        <w:rPr>
          <w:bCs/>
          <w:b/>
        </w:rPr>
        <w:t xml:space="preserve">Kinetic Modeling:</w:t>
      </w:r>
      <w:r>
        <w:t xml:space="preserve"> </w:t>
      </w:r>
      <w:r>
        <w:t xml:space="preserve">Fit the data to Pseudo-first-order and Pseudo-second-order models to determine the rate-limiting steps.</w:t>
      </w:r>
    </w:p>
    <w:p>
      <w:pPr>
        <w:numPr>
          <w:ilvl w:val="0"/>
          <w:numId w:val="1005"/>
        </w:numPr>
        <w:pStyle w:val="Compact"/>
      </w:pPr>
      <w:r>
        <w:rPr>
          <w:bCs/>
          <w:b/>
        </w:rPr>
        <w:t xml:space="preserve">Isotherm Modeling:</w:t>
      </w:r>
      <w:r>
        <w:t xml:space="preserve"> </w:t>
      </w:r>
      <w:r>
        <w:t xml:space="preserve">Apply Langmuir and Freundlich isotherms to understand the surface interaction mechanisms.</w:t>
      </w:r>
    </w:p>
    <w:p>
      <w:pPr>
        <w:numPr>
          <w:ilvl w:val="0"/>
          <w:numId w:val="1005"/>
        </w:numPr>
        <w:pStyle w:val="Compact"/>
      </w:pPr>
      <w:r>
        <w:rPr>
          <w:bCs/>
          <w:b/>
        </w:rPr>
        <w:t xml:space="preserve">Economic Feasibility:</w:t>
      </w:r>
      <w:r>
        <w:t xml:space="preserve"> </w:t>
      </w:r>
      <w:r>
        <w:t xml:space="preserve">Assess the cost per liter of treated water, considering the low cost of raw materials in</w:t>
      </w:r>
      <w:r>
        <w:t xml:space="preserve"> </w:t>
      </w:r>
      <w:r>
        <w:rPr>
          <w:bCs/>
          <w:b/>
        </w:rPr>
        <w:t xml:space="preserve">Zimbabwe Harare</w:t>
      </w:r>
      <w:r>
        <w:t xml:space="preserve">.</w:t>
      </w:r>
    </w:p>
    <w:p>
      <w:pPr>
        <w:pStyle w:val="FirstParagraph"/>
      </w:pPr>
      <w:r>
        <w:t xml:space="preserve">The final report must include recommendations for scaling up the process from laboratory batch reactors to continuous fixed-bed columns, which is essential for industrial application in local manufacturing plants.</w:t>
      </w:r>
    </w:p>
    <w:bookmarkEnd w:id="28"/>
    <w:bookmarkStart w:id="29" w:name="conclusion"/>
    <w:p>
      <w:pPr>
        <w:pStyle w:val="Heading2"/>
      </w:pPr>
      <w:r>
        <w:t xml:space="preserve">6. Conclusion</w:t>
      </w:r>
    </w:p>
    <w:p>
      <w:pPr>
        <w:pStyle w:val="FirstParagraph"/>
      </w:pPr>
      <w:r>
        <w:t xml:space="preserve">This Experiment Protocol provides a rigorous framework for investigating sustainable water treatment technologies. By leveraging the expertise of the</w:t>
      </w:r>
      <w:r>
        <w:t xml:space="preserve"> </w:t>
      </w:r>
      <w:r>
        <w:rPr>
          <w:bCs/>
          <w:b/>
        </w:rPr>
        <w:t xml:space="preserve">Chemical Engineer</w:t>
      </w:r>
      <w:r>
        <w:t xml:space="preserve"> </w:t>
      </w:r>
      <w:r>
        <w:t xml:space="preserve">and utilizing resources available in</w:t>
      </w:r>
      <w:r>
        <w:t xml:space="preserve"> </w:t>
      </w:r>
      <w:r>
        <w:rPr>
          <w:bCs/>
          <w:b/>
        </w:rPr>
        <w:t xml:space="preserve">Zimbabwe Harare</w:t>
      </w:r>
      <w:r>
        <w:t xml:space="preserve">, this study aims to contribute significantly to environmental sustainability and public health in the region. Adherence to this protocol ensures that the results are scientifically valid, reproducible, and applicable to real-world engineering challenges.</w:t>
      </w:r>
    </w:p>
    <w:bookmarkEnd w:id="29"/>
    <w:p>
      <w:pPr>
        <w:pStyle w:val="BodyText"/>
      </w:pPr>
      <w:r>
        <w:rPr>
          <w:iCs/>
          <w:i/>
        </w:rPr>
        <w:t xml:space="preserve">End of Document. Approved by the Research Ethics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Purification via Localized Adsorbents</dc:title>
  <dc:creator/>
  <dc:language>en</dc:language>
  <cp:keywords/>
  <dcterms:created xsi:type="dcterms:W3CDTF">2026-10-10T01:15:26Z</dcterms:created>
  <dcterms:modified xsi:type="dcterms:W3CDTF">2026-10-10T01:15:26Z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