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Analysis</w:t>
      </w:r>
      <w:r>
        <w:t xml:space="preserve"> </w:t>
      </w:r>
      <w:r>
        <w:t xml:space="preserve">in</w:t>
      </w:r>
      <w:r>
        <w:t xml:space="preserve"> </w:t>
      </w:r>
      <w:r>
        <w:t xml:space="preserve">Brisbane</w:t>
      </w:r>
      <w:r>
        <w:t xml:space="preserve"> </w:t>
      </w:r>
      <w:r>
        <w:t xml:space="preserve">Alluvial</w:t>
      </w:r>
      <w:r>
        <w:t xml:space="preserve"> </w:t>
      </w:r>
      <w:r>
        <w:t xml:space="preserve">Soils</w:t>
      </w:r>
    </w:p>
    <w:bookmarkStart w:id="20" w:name="X29d3571d82febfb0d76f8836db7410c2471f8ba"/>
    <w:p>
      <w:pPr>
        <w:pStyle w:val="Heading1"/>
      </w:pPr>
      <w:r>
        <w:t xml:space="preserve">Experiment Protocol: Geotechnical Stability Analysis of Expansive Clays</w:t>
      </w:r>
    </w:p>
    <w:p>
      <w:pPr>
        <w:pStyle w:val="FirstParagraph"/>
      </w:pPr>
      <w:r>
        <w:rPr>
          <w:bCs/>
          <w:b/>
        </w:rPr>
        <w:t xml:space="preserve">Project Reference:</w:t>
      </w:r>
      <w:r>
        <w:t xml:space="preserve"> </w:t>
      </w:r>
      <w:r>
        <w:t xml:space="preserve">BRIS-GEOTECH-2024-001</w:t>
      </w:r>
    </w:p>
    <w:p>
      <w:pPr>
        <w:pStyle w:val="BodyText"/>
      </w:pPr>
      <w:r>
        <w:rPr>
          <w:bCs/>
          <w:b/>
        </w:rPr>
        <w:t xml:space="preserve">Location:</w:t>
      </w:r>
      <w:r>
        <w:t xml:space="preserve"> </w:t>
      </w:r>
      <w:r>
        <w:t xml:space="preserve">Brisbane, Queensland, Australia</w:t>
      </w:r>
    </w:p>
    <w:p>
      <w:pPr>
        <w:pStyle w:val="BodyText"/>
      </w:pPr>
      <w:r>
        <w:rPr>
          <w:bCs/>
          <w:b/>
        </w:rPr>
        <w:t xml:space="preserve">Discipline:</w:t>
      </w:r>
      <w:r>
        <w:t xml:space="preserve"> </w:t>
      </w:r>
      <w:r>
        <w:t xml:space="preserve">Civil Engineering / Geotechnical Engineering</w:t>
      </w:r>
    </w:p>
    <w:p>
      <w:pPr>
        <w:pStyle w:val="BodyText"/>
      </w:pPr>
      <w:r>
        <w:rPr>
          <w:bCs/>
          <w:b/>
        </w:rPr>
        <w:t xml:space="preserve">Date:</w:t>
      </w:r>
      <w:r>
        <w:t xml:space="preserve"> </w:t>
      </w:r>
      <w:r>
        <w:t xml:space="preserve">October 24, 2024</w:t>
      </w:r>
    </w:p>
    <w:p>
      <w:pPr>
        <w:pStyle w:val="BodyText"/>
      </w:pPr>
      <w:r>
        <w:rPr>
          <w:bCs/>
          <w:b/>
        </w:rPr>
        <w:t xml:space="preserve">Prepared By:</w:t>
      </w:r>
      <w:r>
        <w:t xml:space="preserve"> </w:t>
      </w:r>
      <w:r>
        <w:t xml:space="preserve">Senior Civil Engineer</w:t>
      </w:r>
    </w:p>
    <w:bookmarkEnd w:id="20"/>
    <w:bookmarkStart w:id="21" w:name="introduction-and-objective"/>
    <w:p>
      <w:pPr>
        <w:pStyle w:val="Heading2"/>
      </w:pPr>
      <w:r>
        <w:t xml:space="preserve">1.0 Introduction and Objective</w:t>
      </w:r>
    </w:p>
    <w:p>
      <w:pPr>
        <w:pStyle w:val="FirstParagraph"/>
      </w:pPr>
      <w:r>
        <w:t xml:space="preserve">This Experiment Protocol outlines the rigorous methodology required for the Civil Engineer to assess the geotechnical stability of soil samples extracted from the Brisbane metropolitan area. The primary objective is to evaluate the swelling potential and shear strength of the region's characteristic expansive clays, specifically those found in the alluvial deposits along the Brisbane River floodplain.</w:t>
      </w:r>
    </w:p>
    <w:p>
      <w:pPr>
        <w:pStyle w:val="BodyText"/>
      </w:pPr>
      <w:r>
        <w:t xml:space="preserve">Given the unique climatic conditions of Australia Brisbane, characterized by distinct wet and dry seasons, understanding soil behavior is critical for the integrity of civil infrastructure. This protocol ensures that all testing adheres to Australian Standards (AS) and provides reliable data for foundation design, retaining wall stability, and pavement engineering.</w:t>
      </w:r>
    </w:p>
    <w:bookmarkEnd w:id="21"/>
    <w:bookmarkStart w:id="22" w:name="scope-and-applicability"/>
    <w:p>
      <w:pPr>
        <w:pStyle w:val="Heading2"/>
      </w:pPr>
      <w:r>
        <w:t xml:space="preserve">2.0 Scope and Applicability</w:t>
      </w:r>
    </w:p>
    <w:p>
      <w:pPr>
        <w:pStyle w:val="FirstParagraph"/>
      </w:pPr>
      <w:r>
        <w:t xml:space="preserve">This protocol applies to all soil sampling and laboratory testing activities conducted by the Civil Engineer for residential and commercial developments within the Brisbane City Council jurisdiction. The scope includes:</w:t>
      </w:r>
    </w:p>
    <w:p>
      <w:pPr>
        <w:numPr>
          <w:ilvl w:val="0"/>
          <w:numId w:val="1001"/>
        </w:numPr>
        <w:pStyle w:val="Compact"/>
      </w:pPr>
      <w:r>
        <w:t xml:space="preserve">Undisturbed soil sampling from depths of 0.5m to 5.0m.</w:t>
      </w:r>
    </w:p>
    <w:p>
      <w:pPr>
        <w:numPr>
          <w:ilvl w:val="0"/>
          <w:numId w:val="1001"/>
        </w:numPr>
        <w:pStyle w:val="Compact"/>
      </w:pPr>
      <w:r>
        <w:t xml:space="preserve">Laboratory determination of Atterberg Limits.</w:t>
      </w:r>
    </w:p>
    <w:p>
      <w:pPr>
        <w:numPr>
          <w:ilvl w:val="0"/>
          <w:numId w:val="1001"/>
        </w:numPr>
        <w:pStyle w:val="Compact"/>
      </w:pPr>
      <w:r>
        <w:t xml:space="preserve">Consolidation and swelling pressure tests.</w:t>
      </w:r>
    </w:p>
    <w:p>
      <w:pPr>
        <w:numPr>
          <w:ilvl w:val="0"/>
          <w:numId w:val="1001"/>
        </w:numPr>
        <w:pStyle w:val="Compact"/>
      </w:pPr>
      <w:r>
        <w:t xml:space="preserve">Direct shear strength analysis.</w:t>
      </w:r>
    </w:p>
    <w:p>
      <w:pPr>
        <w:pStyle w:val="FirstParagraph"/>
      </w:pPr>
      <w:r>
        <w:t xml:space="preserve">The results will directly inform the geotechnical report required for building approval under the Queensland Development Code (QDC).</w:t>
      </w:r>
    </w:p>
    <w:bookmarkEnd w:id="22"/>
    <w:bookmarkStart w:id="23" w:name="regulatory-compliance"/>
    <w:p>
      <w:pPr>
        <w:pStyle w:val="Heading2"/>
      </w:pPr>
      <w:r>
        <w:t xml:space="preserve">3.0 Regulatory Compliance</w:t>
      </w:r>
    </w:p>
    <w:p>
      <w:pPr>
        <w:pStyle w:val="FirstParagraph"/>
      </w:pPr>
      <w:r>
        <w:t xml:space="preserve">All procedures must strictly comply with the following standards relevant to Civil Engineering practice in Australia:</w:t>
      </w:r>
    </w:p>
    <w:p>
      <w:pPr>
        <w:numPr>
          <w:ilvl w:val="0"/>
          <w:numId w:val="1002"/>
        </w:numPr>
        <w:pStyle w:val="Compact"/>
      </w:pPr>
      <w:r>
        <w:rPr>
          <w:bCs/>
          <w:b/>
        </w:rPr>
        <w:t xml:space="preserve">AS 1289:</w:t>
      </w:r>
      <w:r>
        <w:t xml:space="preserve"> </w:t>
      </w:r>
      <w:r>
        <w:t xml:space="preserve">Methods of testing soils for engineering purposes.</w:t>
      </w:r>
    </w:p>
    <w:p>
      <w:pPr>
        <w:numPr>
          <w:ilvl w:val="0"/>
          <w:numId w:val="1002"/>
        </w:numPr>
        <w:pStyle w:val="Compact"/>
      </w:pPr>
      <w:r>
        <w:rPr>
          <w:bCs/>
          <w:b/>
        </w:rPr>
        <w:t xml:space="preserve">AS 2870:</w:t>
      </w:r>
      <w:r>
        <w:t xml:space="preserve"> </w:t>
      </w:r>
      <w:r>
        <w:t xml:space="preserve">Residential slabs and footings.</w:t>
      </w:r>
    </w:p>
    <w:p>
      <w:pPr>
        <w:numPr>
          <w:ilvl w:val="0"/>
          <w:numId w:val="1002"/>
        </w:numPr>
        <w:pStyle w:val="Compact"/>
      </w:pPr>
      <w:r>
        <w:rPr>
          <w:bCs/>
          <w:b/>
        </w:rPr>
        <w:t xml:space="preserve">AS 4678:</w:t>
      </w:r>
      <w:r>
        <w:t xml:space="preserve"> </w:t>
      </w:r>
      <w:r>
        <w:t xml:space="preserve">Geotechnical site investigations.</w:t>
      </w:r>
    </w:p>
    <w:p>
      <w:pPr>
        <w:numPr>
          <w:ilvl w:val="0"/>
          <w:numId w:val="1002"/>
        </w:numPr>
        <w:pStyle w:val="Compact"/>
      </w:pPr>
      <w:r>
        <w:rPr>
          <w:bCs/>
          <w:b/>
        </w:rPr>
        <w:t xml:space="preserve">Queensland Building Code:</w:t>
      </w:r>
      <w:r>
        <w:t xml:space="preserve"> </w:t>
      </w:r>
      <w:r>
        <w:t xml:space="preserve">Specific requirements for flood-prone and expansive soil areas in Brisbane.</w:t>
      </w:r>
    </w:p>
    <w:bookmarkEnd w:id="23"/>
    <w:bookmarkStart w:id="24" w:name="materials-and-equipment"/>
    <w:p>
      <w:pPr>
        <w:pStyle w:val="Heading2"/>
      </w:pPr>
      <w:r>
        <w:t xml:space="preserve">4.0 Materials and Equipment</w:t>
      </w:r>
    </w:p>
    <w:p>
      <w:pPr>
        <w:pStyle w:val="FirstParagraph"/>
      </w:pPr>
      <w:r>
        <w:t xml:space="preserve">The Civil Engineer must ensure the following equipment is calibrated and available prior to commencing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Thin-Walled Tube Samplers</w:t>
            </w:r>
          </w:p>
        </w:tc>
        <w:tc>
          <w:tcPr/>
          <w:p>
            <w:pPr>
              <w:pStyle w:val="Compact"/>
              <w:jc w:val="left"/>
            </w:pPr>
            <w:r>
              <w:t xml:space="preserve">75mm diameter, 300mm length</w:t>
            </w:r>
          </w:p>
        </w:tc>
        <w:tc>
          <w:tcPr/>
          <w:p>
            <w:pPr>
              <w:pStyle w:val="Compact"/>
              <w:jc w:val="left"/>
            </w:pPr>
            <w:r>
              <w:t xml:space="preserve">Undisturbed sample collection</w:t>
            </w:r>
          </w:p>
        </w:tc>
      </w:tr>
      <w:tr>
        <w:tc>
          <w:tcPr/>
          <w:p>
            <w:pPr>
              <w:pStyle w:val="Compact"/>
              <w:jc w:val="left"/>
            </w:pPr>
            <w:r>
              <w:t xml:space="preserve">Atterberg Limits Apparatus</w:t>
            </w:r>
          </w:p>
        </w:tc>
        <w:tc>
          <w:tcPr/>
          <w:p>
            <w:pPr>
              <w:pStyle w:val="Compact"/>
              <w:jc w:val="left"/>
            </w:pPr>
            <w:r>
              <w:t xml:space="preserve">ASTM/Australian Standard compliant</w:t>
            </w:r>
          </w:p>
        </w:tc>
        <w:tc>
          <w:tcPr/>
          <w:p>
            <w:pPr>
              <w:pStyle w:val="Compact"/>
              <w:jc w:val="left"/>
            </w:pPr>
            <w:r>
              <w:t xml:space="preserve">Determining plasticity index</w:t>
            </w:r>
          </w:p>
        </w:tc>
      </w:tr>
      <w:tr>
        <w:tc>
          <w:tcPr/>
          <w:p>
            <w:pPr>
              <w:pStyle w:val="Compact"/>
              <w:jc w:val="left"/>
            </w:pPr>
            <w:r>
              <w:t xml:space="preserve">Oedometer Cell</w:t>
            </w:r>
          </w:p>
        </w:tc>
        <w:tc>
          <w:tcPr/>
          <w:p>
            <w:pPr>
              <w:pStyle w:val="Compact"/>
              <w:jc w:val="left"/>
            </w:pPr>
            <w:r>
              <w:t xml:space="preserve">Capacity up to 1000 kPa</w:t>
            </w:r>
          </w:p>
        </w:tc>
        <w:tc>
          <w:tcPr/>
          <w:p>
            <w:pPr>
              <w:pStyle w:val="Compact"/>
              <w:jc w:val="left"/>
            </w:pPr>
            <w:r>
              <w:t xml:space="preserve">Consolidation and swelling tests</w:t>
            </w:r>
          </w:p>
        </w:tc>
      </w:tr>
      <w:tr>
        <w:tc>
          <w:tcPr/>
          <w:p>
            <w:pPr>
              <w:pStyle w:val="Compact"/>
              <w:jc w:val="left"/>
            </w:pPr>
            <w:r>
              <w:t xml:space="preserve">Direct Shear Box</w:t>
            </w:r>
          </w:p>
        </w:tc>
        <w:tc>
          <w:tcPr/>
          <w:p>
            <w:pPr>
              <w:pStyle w:val="Compact"/>
              <w:jc w:val="left"/>
            </w:pPr>
            <w:r>
              <w:t xml:space="preserve">60mm x 60mm</w:t>
            </w:r>
          </w:p>
        </w:tc>
        <w:tc>
          <w:tcPr/>
          <w:p>
            <w:pPr>
              <w:pStyle w:val="Compact"/>
              <w:jc w:val="left"/>
            </w:pPr>
            <w:r>
              <w:t xml:space="preserve">Shear strength determination</w:t>
            </w:r>
          </w:p>
        </w:tc>
      </w:tr>
      <w:tr>
        <w:tc>
          <w:tcPr/>
          <w:p>
            <w:pPr>
              <w:pStyle w:val="Compact"/>
              <w:jc w:val="left"/>
            </w:pPr>
            <w:r>
              <w:t xml:space="preserve">Moisture Content Ovens</w:t>
            </w:r>
          </w:p>
        </w:tc>
        <w:tc>
          <w:tcPr/>
          <w:p>
            <w:pPr>
              <w:pStyle w:val="Compact"/>
              <w:jc w:val="left"/>
            </w:pPr>
            <w:r>
              <w:t xml:space="preserve">105°C ± 5°C</w:t>
            </w:r>
          </w:p>
        </w:tc>
        <w:tc>
          <w:tcPr/>
          <w:p>
            <w:pPr>
              <w:pStyle w:val="Compact"/>
              <w:jc w:val="left"/>
            </w:pPr>
            <w:r>
              <w:t xml:space="preserve">Drying samples for mass calculation</w:t>
            </w:r>
          </w:p>
        </w:tc>
      </w:tr>
    </w:tbl>
    <w:bookmarkEnd w:id="24"/>
    <w:bookmarkStart w:id="30" w:name="experimental-procedure"/>
    <w:p>
      <w:pPr>
        <w:pStyle w:val="Heading2"/>
      </w:pPr>
      <w:r>
        <w:t xml:space="preserve">5.0 Experimental Procedure</w:t>
      </w:r>
    </w:p>
    <w:bookmarkStart w:id="25" w:name="site-investigation-and-sampling"/>
    <w:p>
      <w:pPr>
        <w:pStyle w:val="Heading3"/>
      </w:pPr>
      <w:r>
        <w:t xml:space="preserve">5.1 Site Investigation and Sampling</w:t>
      </w:r>
    </w:p>
    <w:p>
      <w:pPr>
        <w:pStyle w:val="FirstParagraph"/>
      </w:pPr>
      <w:r>
        <w:t xml:space="preserve">The Civil Engineer shall conduct the site investigation in Brisbane during a period of stable weather to minimize surface disturbance. Upon arrival at the site, the engineer must verify the location coordinates against the Brisbane City Council mapping system.</w:t>
      </w:r>
    </w:p>
    <w:p>
      <w:pPr>
        <w:numPr>
          <w:ilvl w:val="0"/>
          <w:numId w:val="1003"/>
        </w:numPr>
        <w:pStyle w:val="Compact"/>
      </w:pPr>
      <w:r>
        <w:t xml:space="preserve">Establish a borehole grid pattern based on the site topography and proposed structure footprint.</w:t>
      </w:r>
    </w:p>
    <w:p>
      <w:pPr>
        <w:numPr>
          <w:ilvl w:val="0"/>
          <w:numId w:val="1003"/>
        </w:numPr>
        <w:pStyle w:val="Compact"/>
      </w:pPr>
      <w:r>
        <w:t xml:space="preserve">Extract undisturbed soil samples using thin-walled tube samplers at 1-meter intervals.</w:t>
      </w:r>
    </w:p>
    <w:p>
      <w:pPr>
        <w:numPr>
          <w:ilvl w:val="0"/>
          <w:numId w:val="1003"/>
        </w:numPr>
        <w:pStyle w:val="Compact"/>
      </w:pPr>
      <w:r>
        <w:t xml:space="preserve">Immediately seal samples in airtight containers to prevent moisture loss, which is critical given the high evaporation rates in Brisbane summers.</w:t>
      </w:r>
    </w:p>
    <w:p>
      <w:pPr>
        <w:numPr>
          <w:ilvl w:val="0"/>
          <w:numId w:val="1003"/>
        </w:numPr>
        <w:pStyle w:val="Compact"/>
      </w:pPr>
      <w:r>
        <w:t xml:space="preserve">Label each sample with depth, location, and date.</w:t>
      </w:r>
    </w:p>
    <w:bookmarkEnd w:id="25"/>
    <w:bookmarkStart w:id="26" w:name="laboratory-preparation"/>
    <w:p>
      <w:pPr>
        <w:pStyle w:val="Heading3"/>
      </w:pPr>
      <w:r>
        <w:t xml:space="preserve">5.2 Laboratory Preparation</w:t>
      </w:r>
    </w:p>
    <w:p>
      <w:pPr>
        <w:pStyle w:val="FirstParagraph"/>
      </w:pPr>
      <w:r>
        <w:t xml:space="preserve">Upon transport to the laboratory, samples must be processed within 24 hours. The Civil Engineer will oversee the trimming of samples to fit the testing apparatus, ensuring the natural moisture content is preserved.</w:t>
      </w:r>
    </w:p>
    <w:bookmarkEnd w:id="26"/>
    <w:bookmarkStart w:id="27" w:name="atterberg-limits-testing"/>
    <w:p>
      <w:pPr>
        <w:pStyle w:val="Heading3"/>
      </w:pPr>
      <w:r>
        <w:t xml:space="preserve">5.3 Atterberg Limits Testing</w:t>
      </w:r>
    </w:p>
    <w:p>
      <w:pPr>
        <w:pStyle w:val="FirstParagraph"/>
      </w:pPr>
      <w:r>
        <w:t xml:space="preserve">To classify the soil and determine its expansiveness:</w:t>
      </w:r>
    </w:p>
    <w:p>
      <w:pPr>
        <w:numPr>
          <w:ilvl w:val="0"/>
          <w:numId w:val="1004"/>
        </w:numPr>
        <w:pStyle w:val="Compact"/>
      </w:pPr>
      <w:r>
        <w:t xml:space="preserve">Prepare a soil paste and determine the Liquid Limit (LL) using the Casagrande cup method.</w:t>
      </w:r>
    </w:p>
    <w:p>
      <w:pPr>
        <w:numPr>
          <w:ilvl w:val="0"/>
          <w:numId w:val="1004"/>
        </w:numPr>
        <w:pStyle w:val="Compact"/>
      </w:pPr>
      <w:r>
        <w:t xml:space="preserve">Determine the Plastic Limit (PL) by rolling the soil into threads.</w:t>
      </w:r>
    </w:p>
    <w:p>
      <w:pPr>
        <w:numPr>
          <w:ilvl w:val="0"/>
          <w:numId w:val="1004"/>
        </w:numPr>
        <w:pStyle w:val="Compact"/>
      </w:pPr>
      <w:r>
        <w:t xml:space="preserve">Calculate the Plasticity Index (PI = LL - PL). A high PI indicates high expansiveness, common in Brisbane's red-brown clays.</w:t>
      </w:r>
    </w:p>
    <w:bookmarkEnd w:id="27"/>
    <w:bookmarkStart w:id="28" w:name="consolidation-and-swelling-pressure-test"/>
    <w:p>
      <w:pPr>
        <w:pStyle w:val="Heading3"/>
      </w:pPr>
      <w:r>
        <w:t xml:space="preserve">5.4 Consolidation and Swelling Pressure Test</w:t>
      </w:r>
    </w:p>
    <w:p>
      <w:pPr>
        <w:pStyle w:val="FirstParagraph"/>
      </w:pPr>
      <w:r>
        <w:t xml:space="preserve">This is the core experiment for assessing foundation risk:</w:t>
      </w:r>
    </w:p>
    <w:p>
      <w:pPr>
        <w:numPr>
          <w:ilvl w:val="0"/>
          <w:numId w:val="1005"/>
        </w:numPr>
        <w:pStyle w:val="Compact"/>
      </w:pPr>
      <w:r>
        <w:t xml:space="preserve">Place the undisturbed sample in the oedometer cell.</w:t>
      </w:r>
    </w:p>
    <w:p>
      <w:pPr>
        <w:numPr>
          <w:ilvl w:val="0"/>
          <w:numId w:val="1005"/>
        </w:numPr>
        <w:pStyle w:val="Compact"/>
      </w:pPr>
      <w:r>
        <w:t xml:space="preserve">Apply a series of vertical loads, starting from 12.5 kPa up to 800 kPa.</w:t>
      </w:r>
    </w:p>
    <w:p>
      <w:pPr>
        <w:numPr>
          <w:ilvl w:val="0"/>
          <w:numId w:val="1005"/>
        </w:numPr>
        <w:pStyle w:val="Compact"/>
      </w:pPr>
      <w:r>
        <w:t xml:space="preserve">Allow the sample to consolidate under each load until the rate of deformation is less than 0.01 mm per hour.</w:t>
      </w:r>
    </w:p>
    <w:p>
      <w:pPr>
        <w:numPr>
          <w:ilvl w:val="0"/>
          <w:numId w:val="1005"/>
        </w:numPr>
        <w:pStyle w:val="Compact"/>
      </w:pPr>
      <w:r>
        <w:t xml:space="preserve">After reaching maximum load, unload the sample in stages to measure rebound and swelling.</w:t>
      </w:r>
    </w:p>
    <w:p>
      <w:pPr>
        <w:numPr>
          <w:ilvl w:val="0"/>
          <w:numId w:val="1005"/>
        </w:numPr>
        <w:pStyle w:val="Compact"/>
      </w:pPr>
      <w:r>
        <w:t xml:space="preserve">Record the swelling pressure required to prevent volume increase. This value is critical for designing footings that can resist uplift forces during the wet season.</w:t>
      </w:r>
    </w:p>
    <w:bookmarkEnd w:id="28"/>
    <w:bookmarkStart w:id="29" w:name="direct-shear-test"/>
    <w:p>
      <w:pPr>
        <w:pStyle w:val="Heading3"/>
      </w:pPr>
      <w:r>
        <w:t xml:space="preserve">5.5 Direct Shear Test</w:t>
      </w:r>
    </w:p>
    <w:p>
      <w:pPr>
        <w:pStyle w:val="FirstParagraph"/>
      </w:pPr>
      <w:r>
        <w:t xml:space="preserve">To determine the friction angle and cohesion of the soil:</w:t>
      </w:r>
    </w:p>
    <w:p>
      <w:pPr>
        <w:numPr>
          <w:ilvl w:val="0"/>
          <w:numId w:val="1006"/>
        </w:numPr>
        <w:pStyle w:val="Compact"/>
      </w:pPr>
      <w:r>
        <w:t xml:space="preserve">Place the soil sample in the shear box.</w:t>
      </w:r>
    </w:p>
    <w:p>
      <w:pPr>
        <w:numPr>
          <w:ilvl w:val="0"/>
          <w:numId w:val="1006"/>
        </w:numPr>
        <w:pStyle w:val="Compact"/>
      </w:pPr>
      <w:r>
        <w:t xml:space="preserve">Apply normal stresses of 50 kPa, 100 kPa, and 200 kPa.</w:t>
      </w:r>
    </w:p>
    <w:p>
      <w:pPr>
        <w:numPr>
          <w:ilvl w:val="0"/>
          <w:numId w:val="1006"/>
        </w:numPr>
        <w:pStyle w:val="Compact"/>
      </w:pPr>
      <w:r>
        <w:t xml:space="preserve">Shear the sample at a constant rate until failure occurs.</w:t>
      </w:r>
    </w:p>
    <w:p>
      <w:pPr>
        <w:numPr>
          <w:ilvl w:val="0"/>
          <w:numId w:val="1006"/>
        </w:numPr>
        <w:pStyle w:val="Compact"/>
      </w:pPr>
      <w:r>
        <w:t xml:space="preserve">Plot the shear stress against normal stress to determine the shear strength parameters.</w:t>
      </w:r>
    </w:p>
    <w:bookmarkEnd w:id="29"/>
    <w:bookmarkEnd w:id="30"/>
    <w:bookmarkStart w:id="31" w:name="data-analysis-and-reporting"/>
    <w:p>
      <w:pPr>
        <w:pStyle w:val="Heading2"/>
      </w:pPr>
      <w:r>
        <w:t xml:space="preserve">6.0 Data Analysis and Reporting</w:t>
      </w:r>
    </w:p>
    <w:p>
      <w:pPr>
        <w:pStyle w:val="FirstParagraph"/>
      </w:pPr>
      <w:r>
        <w:t xml:space="preserve">The Civil Engineer must compile all data into a comprehensive Geotechnical Report. The analysis should include:</w:t>
      </w:r>
    </w:p>
    <w:p>
      <w:pPr>
        <w:numPr>
          <w:ilvl w:val="0"/>
          <w:numId w:val="1007"/>
        </w:numPr>
        <w:pStyle w:val="Compact"/>
      </w:pPr>
      <w:r>
        <w:t xml:space="preserve">Classification of soil types according to AS 1726.</w:t>
      </w:r>
    </w:p>
    <w:p>
      <w:pPr>
        <w:numPr>
          <w:ilvl w:val="0"/>
          <w:numId w:val="1007"/>
        </w:numPr>
        <w:pStyle w:val="Compact"/>
      </w:pPr>
      <w:r>
        <w:t xml:space="preserve">Determination of the site class (e.g., Class H for highly reactive soils) as per AS 2870.</w:t>
      </w:r>
    </w:p>
    <w:p>
      <w:pPr>
        <w:numPr>
          <w:ilvl w:val="0"/>
          <w:numId w:val="1007"/>
        </w:numPr>
        <w:pStyle w:val="Compact"/>
      </w:pPr>
      <w:r>
        <w:t xml:space="preserve">Recommendations for foundation types (e.g., suspended slabs, piers, or rafts) suitable for the specific Brisbane soil conditions.</w:t>
      </w:r>
    </w:p>
    <w:p>
      <w:pPr>
        <w:numPr>
          <w:ilvl w:val="0"/>
          <w:numId w:val="1007"/>
        </w:numPr>
        <w:pStyle w:val="Compact"/>
      </w:pPr>
      <w:r>
        <w:t xml:space="preserve">Assessment of drainage requirements to manage Brisbane's heavy rainfall events.</w:t>
      </w:r>
    </w:p>
    <w:bookmarkEnd w:id="31"/>
    <w:bookmarkStart w:id="32" w:name="health-and-safety"/>
    <w:p>
      <w:pPr>
        <w:pStyle w:val="Heading2"/>
      </w:pPr>
      <w:r>
        <w:t xml:space="preserve">7.0 Health and Safety</w:t>
      </w:r>
    </w:p>
    <w:p>
      <w:pPr>
        <w:pStyle w:val="FirstParagraph"/>
      </w:pPr>
      <w:r>
        <w:t xml:space="preserve">All personnel must adhere to the Work Health and Safety (WHS) regulations of Queensland. Personal Protective Equipment (PPE), including high-visibility vests, steel-capped boots, and hard hats, is mandatory on-site. Laboratory personnel must wear gloves and eye protection when handling soil samples and chemicals.</w:t>
      </w:r>
    </w:p>
    <w:bookmarkEnd w:id="32"/>
    <w:bookmarkStart w:id="33" w:name="conclusion"/>
    <w:p>
      <w:pPr>
        <w:pStyle w:val="Heading2"/>
      </w:pPr>
      <w:r>
        <w:t xml:space="preserve">8.0 Conclusion</w:t>
      </w:r>
    </w:p>
    <w:p>
      <w:pPr>
        <w:pStyle w:val="FirstParagraph"/>
      </w:pPr>
      <w:r>
        <w:t xml:space="preserve">This Experiment Protocol provides a standardized approach for the Civil Engineer to evaluate soil stability in Australia Brisbane. By following these procedures, engineers can mitigate the risks associated with expansive soils and ensure the long-term safety and durability of civil infrastructure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Analysis in Brisbane Alluvial Soils</dc:title>
  <dc:creator/>
  <dc:language>en</dc:language>
  <cp:keywords/>
  <dcterms:created xsi:type="dcterms:W3CDTF">2026-10-10T02:10:13Z</dcterms:created>
  <dcterms:modified xsi:type="dcterms:W3CDTF">2026-10-10T02:10:13Z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