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of</w:t>
      </w:r>
      <w:r>
        <w:t xml:space="preserve"> </w:t>
      </w:r>
      <w:r>
        <w:t xml:space="preserve">High-Density</w:t>
      </w:r>
      <w:r>
        <w:t xml:space="preserve"> </w:t>
      </w:r>
      <w:r>
        <w:t xml:space="preserve">Urban</w:t>
      </w:r>
      <w:r>
        <w:t xml:space="preserve"> </w:t>
      </w:r>
      <w:r>
        <w:t xml:space="preserve">Foundations</w:t>
      </w:r>
    </w:p>
    <w:p>
      <w:pPr>
        <w:pStyle w:val="FirstParagraph"/>
      </w:pPr>
      <w:r>
        <w:rPr>
          <w:bCs/>
          <w:b/>
        </w:rPr>
        <w:t xml:space="preserve">Document ID:</w:t>
      </w:r>
      <w:r>
        <w:t xml:space="preserve"> </w:t>
      </w:r>
      <w:r>
        <w:t xml:space="preserve">EP-SYD-CE-2023-004</w:t>
      </w:r>
      <w:r>
        <w:br/>
      </w:r>
      <w:r>
        <w:rPr>
          <w:bCs/>
          <w:b/>
        </w:rPr>
        <w:t xml:space="preserve">Location:</w:t>
      </w:r>
      <w:r>
        <w:t xml:space="preserve"> </w:t>
      </w:r>
      <w:r>
        <w:t xml:space="preserve">Australia Sydney, New South Wales</w:t>
      </w:r>
      <w:r>
        <w:br/>
      </w:r>
      <w:r>
        <w:rPr>
          <w:bCs/>
          <w:b/>
        </w:rPr>
        <w:t xml:space="preserve">Discipline:</w:t>
      </w:r>
      <w:r>
        <w:t xml:space="preserve"> </w:t>
      </w:r>
      <w:r>
        <w:t xml:space="preserve">Civil Engineering</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1" w:name="X008723f5ffe1b34f9d442fb4526199aa0b024d8"/>
    <w:p>
      <w:pPr>
        <w:pStyle w:val="Heading1"/>
      </w:pPr>
      <w:r>
        <w:t xml:space="preserve">Experiment Protocol: Structural Integrity Assessment of High-Density Urban Foundations</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a Civil Engineer conducting in-situ load testing on deep foundation piles within the high-density urban environment of Australia Sydney. The rapid urbanization of Sydney, characterized by complex soil stratigraphy ranging from Hawkesbury Sandstone to soft alluvial clays, necessitates precise verification of foundation performance before the commencement of superstructure construction.</w:t>
      </w:r>
    </w:p>
    <w:p>
      <w:pPr>
        <w:pStyle w:val="BodyText"/>
      </w:pPr>
      <w:r>
        <w:t xml:space="preserve">The primary objective of this experiment is to determine the ultimate load-bearing capacity and settlement characteristics of bored cast-in-situ piles. This data is critical for validating design assumptions made in accordance with the Australian Standard AS 2159:2009 (Piling - Design and Installation). The Civil Engineer responsible for this protocol must ensure that all testing procedures align with local geotechnical conditions and regulatory requirements specific to the Sydney metropolitan area.</w:t>
      </w:r>
    </w:p>
    <w:bookmarkEnd w:id="20"/>
    <w:bookmarkStart w:id="21" w:name="scope-and-applicability"/>
    <w:p>
      <w:pPr>
        <w:pStyle w:val="Heading2"/>
      </w:pPr>
      <w:r>
        <w:t xml:space="preserve">2. Scope and Applicability</w:t>
      </w:r>
    </w:p>
    <w:p>
      <w:pPr>
        <w:pStyle w:val="FirstParagraph"/>
      </w:pPr>
      <w:r>
        <w:t xml:space="preserve">This protocol applies to all load testing activities conducted on construction sites within the Greater Sydney region. It is designed for use by qualified Civil Engineers and geotechnical specialists. The scope includes the preparation of the test pile, the application of static axial compressive loads, and the continuous monitoring of vertical displacement. This document does not cover dynamic testing methods or lateral load testing, which require separate protocols.</w:t>
      </w:r>
    </w:p>
    <w:bookmarkEnd w:id="21"/>
    <w:bookmarkStart w:id="22" w:name="regulatory-compliance-and-standards"/>
    <w:p>
      <w:pPr>
        <w:pStyle w:val="Heading2"/>
      </w:pPr>
      <w:r>
        <w:t xml:space="preserve">3. Regulatory Compliance and Standards</w:t>
      </w:r>
    </w:p>
    <w:p>
      <w:pPr>
        <w:pStyle w:val="FirstParagraph"/>
      </w:pPr>
      <w:r>
        <w:t xml:space="preserve">All procedures must strictly adhere to the following standards and regulations relevant to Australia Sydney:</w:t>
      </w:r>
    </w:p>
    <w:p>
      <w:pPr>
        <w:numPr>
          <w:ilvl w:val="0"/>
          <w:numId w:val="1001"/>
        </w:numPr>
        <w:pStyle w:val="Compact"/>
      </w:pPr>
      <w:r>
        <w:rPr>
          <w:bCs/>
          <w:b/>
        </w:rPr>
        <w:t xml:space="preserve">AS 2159:2009:</w:t>
      </w:r>
      <w:r>
        <w:t xml:space="preserve"> </w:t>
      </w:r>
      <w:r>
        <w:t xml:space="preserve">Piling - Design and Installation.</w:t>
      </w:r>
    </w:p>
    <w:p>
      <w:pPr>
        <w:numPr>
          <w:ilvl w:val="0"/>
          <w:numId w:val="1001"/>
        </w:numPr>
        <w:pStyle w:val="Compact"/>
      </w:pPr>
      <w:r>
        <w:rPr>
          <w:bCs/>
          <w:b/>
        </w:rPr>
        <w:t xml:space="preserve">AS 1726:2017:</w:t>
      </w:r>
      <w:r>
        <w:t xml:space="preserve"> </w:t>
      </w:r>
      <w:r>
        <w:t xml:space="preserve">Geotechnical site investigations.</w:t>
      </w:r>
    </w:p>
    <w:p>
      <w:pPr>
        <w:numPr>
          <w:ilvl w:val="0"/>
          <w:numId w:val="1001"/>
        </w:numPr>
        <w:pStyle w:val="Compact"/>
      </w:pPr>
      <w:r>
        <w:rPr>
          <w:bCs/>
          <w:b/>
        </w:rPr>
        <w:t xml:space="preserve">NSW Environmental Planning and Assessment Act 1979:</w:t>
      </w:r>
      <w:r>
        <w:t xml:space="preserve"> </w:t>
      </w:r>
      <w:r>
        <w:t xml:space="preserve">Ensuring compliance with local council development consent conditions.</w:t>
      </w:r>
    </w:p>
    <w:p>
      <w:pPr>
        <w:numPr>
          <w:ilvl w:val="0"/>
          <w:numId w:val="1001"/>
        </w:numPr>
        <w:pStyle w:val="Compact"/>
      </w:pPr>
      <w:r>
        <w:rPr>
          <w:bCs/>
          <w:b/>
        </w:rPr>
        <w:t xml:space="preserve">Work Health and Safety Act 2011 (NSW):</w:t>
      </w:r>
      <w:r>
        <w:t xml:space="preserve"> </w:t>
      </w:r>
      <w:r>
        <w:t xml:space="preserve">Mandatory safety protocols for all personnel on site.</w:t>
      </w:r>
    </w:p>
    <w:bookmarkEnd w:id="22"/>
    <w:bookmarkStart w:id="23" w:name="equipment-and-instrumentation"/>
    <w:p>
      <w:pPr>
        <w:pStyle w:val="Heading2"/>
      </w:pPr>
      <w:r>
        <w:t xml:space="preserve">4. Equipment and Instrumentation</w:t>
      </w:r>
    </w:p>
    <w:p>
      <w:pPr>
        <w:pStyle w:val="FirstParagraph"/>
      </w:pPr>
      <w:r>
        <w:t xml:space="preserve">The Civil Engineer must verify the calibration and functionality of all equipment prior to the experiment. The following instrumentation is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Hydraulic Jack</w:t>
            </w:r>
          </w:p>
        </w:tc>
        <w:tc>
          <w:tcPr/>
          <w:p>
            <w:pPr>
              <w:pStyle w:val="Compact"/>
              <w:jc w:val="left"/>
            </w:pPr>
            <w:r>
              <w:t xml:space="preserve">Capacity: 1.5x Design Load</w:t>
            </w:r>
          </w:p>
        </w:tc>
        <w:tc>
          <w:tcPr/>
          <w:p>
            <w:pPr>
              <w:pStyle w:val="Compact"/>
              <w:jc w:val="left"/>
            </w:pPr>
            <w:r>
              <w:t xml:space="preserve">Application of axial load</w:t>
            </w:r>
          </w:p>
        </w:tc>
      </w:tr>
      <w:tr>
        <w:tc>
          <w:tcPr/>
          <w:p>
            <w:pPr>
              <w:pStyle w:val="Compact"/>
              <w:jc w:val="left"/>
            </w:pPr>
            <w:r>
              <w:t xml:space="preserve">Linear Variable Differential Transformers (LVDTs)</w:t>
            </w:r>
          </w:p>
        </w:tc>
        <w:tc>
          <w:tcPr/>
          <w:p>
            <w:pPr>
              <w:pStyle w:val="Compact"/>
              <w:jc w:val="left"/>
            </w:pPr>
            <w:r>
              <w:t xml:space="preserve">Accuracy: 0.01mm</w:t>
            </w:r>
          </w:p>
        </w:tc>
        <w:tc>
          <w:tcPr/>
          <w:p>
            <w:pPr>
              <w:pStyle w:val="Compact"/>
              <w:jc w:val="left"/>
            </w:pPr>
            <w:r>
              <w:t xml:space="preserve">Measurement of pile head settlement</w:t>
            </w:r>
          </w:p>
        </w:tc>
      </w:tr>
      <w:tr>
        <w:tc>
          <w:tcPr/>
          <w:p>
            <w:pPr>
              <w:pStyle w:val="Compact"/>
              <w:jc w:val="left"/>
            </w:pPr>
            <w:r>
              <w:t xml:space="preserve">Reaction System</w:t>
            </w:r>
          </w:p>
        </w:tc>
        <w:tc>
          <w:tcPr/>
          <w:p>
            <w:pPr>
              <w:pStyle w:val="Compact"/>
              <w:jc w:val="left"/>
            </w:pPr>
            <w:r>
              <w:t xml:space="preserve">Kelly Bars or Dead Weight</w:t>
            </w:r>
          </w:p>
        </w:tc>
        <w:tc>
          <w:tcPr/>
          <w:p>
            <w:pPr>
              <w:pStyle w:val="Compact"/>
              <w:jc w:val="left"/>
            </w:pPr>
            <w:r>
              <w:t xml:space="preserve">Providing counter-force for the jack</w:t>
            </w:r>
          </w:p>
        </w:tc>
      </w:tr>
      <w:tr>
        <w:tc>
          <w:tcPr/>
          <w:p>
            <w:pPr>
              <w:pStyle w:val="Compact"/>
              <w:jc w:val="left"/>
            </w:pPr>
            <w:r>
              <w:t xml:space="preserve">Data Logger</w:t>
            </w:r>
          </w:p>
        </w:tc>
        <w:tc>
          <w:tcPr/>
          <w:p>
            <w:pPr>
              <w:pStyle w:val="Compact"/>
              <w:jc w:val="left"/>
            </w:pPr>
            <w:r>
              <w:t xml:space="preserve">Automated sampling</w:t>
            </w:r>
          </w:p>
        </w:tc>
        <w:tc>
          <w:tcPr/>
          <w:p>
            <w:pPr>
              <w:pStyle w:val="Compact"/>
              <w:jc w:val="left"/>
            </w:pPr>
            <w:r>
              <w:t xml:space="preserve">Continuous recording of load and displacement</w:t>
            </w:r>
          </w:p>
        </w:tc>
      </w:tr>
    </w:tbl>
    <w:bookmarkEnd w:id="23"/>
    <w:bookmarkStart w:id="28" w:name="experimental-procedure"/>
    <w:p>
      <w:pPr>
        <w:pStyle w:val="Heading2"/>
      </w:pPr>
      <w:r>
        <w:t xml:space="preserve">5. Experimental Procedure</w:t>
      </w:r>
    </w:p>
    <w:bookmarkStart w:id="24" w:name="site-preparation"/>
    <w:p>
      <w:pPr>
        <w:pStyle w:val="Heading3"/>
      </w:pPr>
      <w:r>
        <w:t xml:space="preserve">5.1 Site Preparation</w:t>
      </w:r>
    </w:p>
    <w:p>
      <w:pPr>
        <w:pStyle w:val="FirstParagraph"/>
      </w:pPr>
      <w:r>
        <w:t xml:space="preserve">The test area must be cleared of debris and leveled. In the dense urban fabric of Australia Sydney, noise and vibration controls must be implemented to minimize disturbance to adjacent structures. The Civil Engineer must inspect the test pile to ensure it has cured for the required period (typically 28 days) and that the pile head is trimmed to the correct level with a sound concrete surface.</w:t>
      </w:r>
    </w:p>
    <w:bookmarkEnd w:id="24"/>
    <w:bookmarkStart w:id="25" w:name="instrumentation-setup"/>
    <w:p>
      <w:pPr>
        <w:pStyle w:val="Heading3"/>
      </w:pPr>
      <w:r>
        <w:t xml:space="preserve">5.2 Instrumentation Setup</w:t>
      </w:r>
    </w:p>
    <w:p>
      <w:pPr>
        <w:pStyle w:val="FirstParagraph"/>
      </w:pPr>
      <w:r>
        <w:t xml:space="preserve">Install the reaction system securely. Position at least four LVDTs around the perimeter of the pile head to measure settlement. Ensure the reference beams are independent of the reaction system and the test pile to prevent false readings. The Civil Engineer must verify that the zero reading is established for all instruments before loading begins.</w:t>
      </w:r>
    </w:p>
    <w:bookmarkEnd w:id="25"/>
    <w:bookmarkStart w:id="26" w:name="loading-protocol"/>
    <w:p>
      <w:pPr>
        <w:pStyle w:val="Heading3"/>
      </w:pPr>
      <w:r>
        <w:t xml:space="preserve">5.3 Loading Protocol</w:t>
      </w:r>
    </w:p>
    <w:p>
      <w:pPr>
        <w:pStyle w:val="FirstParagraph"/>
      </w:pPr>
      <w:r>
        <w:t xml:space="preserve">The load shall be applied in increments. For this protocol, the load will be increased in steps of 10% of the design load until the ultimate load is reached or failure criteria are met.</w:t>
      </w:r>
    </w:p>
    <w:p>
      <w:pPr>
        <w:numPr>
          <w:ilvl w:val="0"/>
          <w:numId w:val="1002"/>
        </w:numPr>
        <w:pStyle w:val="Compact"/>
      </w:pPr>
      <w:r>
        <w:rPr>
          <w:bCs/>
          <w:b/>
        </w:rPr>
        <w:t xml:space="preserve">Increment Application:</w:t>
      </w:r>
      <w:r>
        <w:t xml:space="preserve"> </w:t>
      </w:r>
      <w:r>
        <w:t xml:space="preserve">Apply each load increment rapidly but smoothly.</w:t>
      </w:r>
    </w:p>
    <w:p>
      <w:pPr>
        <w:numPr>
          <w:ilvl w:val="0"/>
          <w:numId w:val="1002"/>
        </w:numPr>
        <w:pStyle w:val="Compact"/>
      </w:pPr>
      <w:r>
        <w:rPr>
          <w:bCs/>
          <w:b/>
        </w:rPr>
        <w:t xml:space="preserve">Hold Period:</w:t>
      </w:r>
      <w:r>
        <w:t xml:space="preserve"> </w:t>
      </w:r>
      <w:r>
        <w:t xml:space="preserve">Maintain each load increment until the settlement rate decreases to less than 0.1mm per hour, or for a minimum of 2 hours, whichever is longer.</w:t>
      </w:r>
    </w:p>
    <w:p>
      <w:pPr>
        <w:numPr>
          <w:ilvl w:val="0"/>
          <w:numId w:val="1002"/>
        </w:numPr>
        <w:pStyle w:val="Compact"/>
      </w:pPr>
      <w:r>
        <w:rPr>
          <w:bCs/>
          <w:b/>
        </w:rPr>
        <w:t xml:space="preserve">Recording:</w:t>
      </w:r>
      <w:r>
        <w:t xml:space="preserve"> </w:t>
      </w:r>
      <w:r>
        <w:t xml:space="preserve">Record settlement readings at 1, 2, 5, 10, 20, and 30 minutes after each load increment, and then at hourly intervals.</w:t>
      </w:r>
    </w:p>
    <w:bookmarkEnd w:id="26"/>
    <w:bookmarkStart w:id="27" w:name="unloading-protocol"/>
    <w:p>
      <w:pPr>
        <w:pStyle w:val="Heading3"/>
      </w:pPr>
      <w:r>
        <w:t xml:space="preserve">5.4 Unloading Protocol</w:t>
      </w:r>
    </w:p>
    <w:p>
      <w:pPr>
        <w:pStyle w:val="FirstParagraph"/>
      </w:pPr>
      <w:r>
        <w:t xml:space="preserve">Upon completion of the loading phase, the load shall be removed in increments equal to the loading steps. Settlement readings must be recorded during unloading to assess the elastic recovery of the pile. The Civil Engineer must monitor for any residual settlement that indicates plastic deformation.</w:t>
      </w:r>
    </w:p>
    <w:bookmarkEnd w:id="27"/>
    <w:bookmarkEnd w:id="28"/>
    <w:bookmarkStart w:id="29" w:name="safety-and-risk-management"/>
    <w:p>
      <w:pPr>
        <w:pStyle w:val="Heading2"/>
      </w:pPr>
      <w:r>
        <w:t xml:space="preserve">6. Safety and Risk Management</w:t>
      </w:r>
    </w:p>
    <w:p>
      <w:pPr>
        <w:pStyle w:val="FirstParagraph"/>
      </w:pPr>
      <w:r>
        <w:t xml:space="preserve">Given the high-risk nature of heavy lifting and hydraulic systems, a specific Job Safety Analysis (JSA) must be completed. The Civil Engineer is responsible for ensuring that:</w:t>
      </w:r>
    </w:p>
    <w:p>
      <w:pPr>
        <w:numPr>
          <w:ilvl w:val="0"/>
          <w:numId w:val="1003"/>
        </w:numPr>
        <w:pStyle w:val="Compact"/>
      </w:pPr>
      <w:r>
        <w:t xml:space="preserve">All personnel wear appropriate Personal Protective Equipment (PPE), including high-visibility clothing, safety boots, and hard hats.</w:t>
      </w:r>
    </w:p>
    <w:p>
      <w:pPr>
        <w:numPr>
          <w:ilvl w:val="0"/>
          <w:numId w:val="1003"/>
        </w:numPr>
        <w:pStyle w:val="Compact"/>
      </w:pPr>
      <w:r>
        <w:t xml:space="preserve">Exclusion zones are established around the testing area.</w:t>
      </w:r>
    </w:p>
    <w:p>
      <w:pPr>
        <w:numPr>
          <w:ilvl w:val="0"/>
          <w:numId w:val="1003"/>
        </w:numPr>
        <w:pStyle w:val="Compact"/>
      </w:pPr>
      <w:r>
        <w:t xml:space="preserve">Emergency procedures are communicated to all site workers.</w:t>
      </w:r>
    </w:p>
    <w:p>
      <w:pPr>
        <w:numPr>
          <w:ilvl w:val="0"/>
          <w:numId w:val="1003"/>
        </w:numPr>
        <w:pStyle w:val="Compact"/>
      </w:pPr>
      <w:r>
        <w:t xml:space="preserve">Specific risks associated with working in Australia Sydney, such as proximity to live traffic or underground utilities, are mitigated.</w:t>
      </w:r>
    </w:p>
    <w:bookmarkEnd w:id="29"/>
    <w:bookmarkStart w:id="30" w:name="data-analysis-and-reporting"/>
    <w:p>
      <w:pPr>
        <w:pStyle w:val="Heading2"/>
      </w:pPr>
      <w:r>
        <w:t xml:space="preserve">7. Data Analysis and Reporting</w:t>
      </w:r>
    </w:p>
    <w:p>
      <w:pPr>
        <w:pStyle w:val="FirstParagraph"/>
      </w:pPr>
      <w:r>
        <w:t xml:space="preserve">Following the experiment, the Civil Engineer must analyze the load-settlement data. The results should be plotted on a graph with Load (kN) on the Y-axis and Settlement (mm) on the X-axis. The ultimate load capacity will be determined using the Davisson offset limit method or other methods specified in AS 2159.</w:t>
      </w:r>
    </w:p>
    <w:p>
      <w:pPr>
        <w:pStyle w:val="BodyText"/>
      </w:pPr>
      <w:r>
        <w:t xml:space="preserve">A comprehensive report must be submitted detailing the site conditions, equipment used, raw data, analysis, and conclusions. This report is a legal document that will be used to certify the foundation design for the project in Australia Sydney.</w:t>
      </w:r>
    </w:p>
    <w:p>
      <w:pPr>
        <w:pStyle w:val="BodyText"/>
      </w:pPr>
      <w:r>
        <w:rPr>
          <w:bCs/>
          <w:b/>
        </w:rPr>
        <w:t xml:space="preserve">Note:</w:t>
      </w:r>
      <w:r>
        <w:t xml:space="preserve"> </w:t>
      </w:r>
      <w:r>
        <w:t xml:space="preserve">This protocol is a template. The Civil Engineer must adapt specific parameters (such as load increments and hold times) based on the specific geotechnical investigation report for the site.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of High-Density Urban Foundations</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