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Rio</w:t>
      </w:r>
      <w:r>
        <w:t xml:space="preserve"> </w:t>
      </w:r>
      <w:r>
        <w:t xml:space="preserve">de</w:t>
      </w:r>
      <w:r>
        <w:t xml:space="preserve"> </w:t>
      </w:r>
      <w:r>
        <w:t xml:space="preserve">Janeiro</w:t>
      </w:r>
    </w:p>
    <w:bookmarkStart w:id="20" w:name="X8804fbf9cc6aa581acf12dcab91a3d3493961e0"/>
    <w:p>
      <w:pPr>
        <w:pStyle w:val="Heading1"/>
      </w:pPr>
      <w:r>
        <w:t xml:space="preserve">Experiment Protocol: Structural Integrity and Material Durability Assessment</w:t>
      </w:r>
    </w:p>
    <w:p>
      <w:pPr>
        <w:pStyle w:val="FirstParagraph"/>
      </w:pPr>
      <w:r>
        <w:rPr>
          <w:bCs/>
          <w:b/>
        </w:rPr>
        <w:t xml:space="preserve">Location:</w:t>
      </w:r>
      <w:r>
        <w:t xml:space="preserve"> </w:t>
      </w:r>
      <w:r>
        <w:t xml:space="preserve">Rio de Janeiro, Brazil</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RJ-CE-2023-EXP-04</w:t>
      </w:r>
    </w:p>
    <w:p>
      <w:pPr>
        <w:pStyle w:val="BodyText"/>
      </w:pPr>
      <w:r>
        <w:rPr>
          <w:bCs/>
          <w:b/>
        </w:rPr>
        <w:t xml:space="preserve">Date:</w:t>
      </w:r>
      <w:r>
        <w:t xml:space="preserve"> </w:t>
      </w:r>
      <w:r>
        <w:t xml:space="preserve">October 26, 2023</w:t>
      </w:r>
    </w:p>
    <w:p>
      <w:pPr>
        <w:pStyle w:val="BodyText"/>
      </w:pPr>
      <w:r>
        <w:rPr>
          <w:bCs/>
          <w:b/>
        </w:rPr>
        <w:t xml:space="preserve">Lead Engineer:</w:t>
      </w:r>
      <w:r>
        <w:t xml:space="preserve"> </w:t>
      </w:r>
      <w:r>
        <w:t xml:space="preserve">[Name Redacted], CREA-RJ Registered</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structural integrity and material durability of reinforced concrete structures located in the coastal and hilly regions of Rio de Janeiro, Brazil. The unique environmental conditions of Rio de Janeiro, characterized by high humidity, saline aerosol exposure, and significant temperature fluctuations, pose specific challenges to civil engineering infrastructure.</w:t>
      </w:r>
    </w:p>
    <w:p>
      <w:pPr>
        <w:pStyle w:val="BodyText"/>
      </w:pPr>
      <w:r>
        <w:t xml:space="preserve">The primary objective of this experiment is to evaluate the rate of chloride ingress and carbonation depth in concrete samples extracted from existing structures in the Zona Sul and Port areas. This data is critical for Civil Engineers to predict the remaining service life of these structures and to propose effective maintenance strategies in accordance with Brazilian technical standards (NBR).</w:t>
      </w:r>
    </w:p>
    <w:bookmarkEnd w:id="21"/>
    <w:bookmarkStart w:id="22" w:name="scope-and-applicability"/>
    <w:p>
      <w:pPr>
        <w:pStyle w:val="Heading2"/>
      </w:pPr>
      <w:r>
        <w:t xml:space="preserve">2. Scope and Applicability</w:t>
      </w:r>
    </w:p>
    <w:p>
      <w:pPr>
        <w:pStyle w:val="FirstParagraph"/>
      </w:pPr>
      <w:r>
        <w:t xml:space="preserve">This protocol applies to all reinforced concrete structures within the municipality of Rio de Janeiro that are over 20 years old. It is specifically designed for use by licensed Civil Engineers operating under the jurisdiction of the Regional Council of Engineering and Agronomy of Rio de Janeiro (CREA-RJ). The scope includes residential high-rises, public bridges, and coastal retaining walls.</w:t>
      </w:r>
    </w:p>
    <w:bookmarkEnd w:id="22"/>
    <w:bookmarkStart w:id="23" w:name="regulatory-framework"/>
    <w:p>
      <w:pPr>
        <w:pStyle w:val="Heading2"/>
      </w:pPr>
      <w:r>
        <w:t xml:space="preserve">3. Regulatory Framework</w:t>
      </w:r>
    </w:p>
    <w:p>
      <w:pPr>
        <w:pStyle w:val="FirstParagraph"/>
      </w:pPr>
      <w:r>
        <w:t xml:space="preserve">All procedures must strictly adhere to the following Brazilian standards:</w:t>
      </w:r>
    </w:p>
    <w:p>
      <w:pPr>
        <w:numPr>
          <w:ilvl w:val="0"/>
          <w:numId w:val="1001"/>
        </w:numPr>
        <w:pStyle w:val="Compact"/>
      </w:pPr>
      <w:r>
        <w:rPr>
          <w:bCs/>
          <w:b/>
        </w:rPr>
        <w:t xml:space="preserve">NBR 6118:</w:t>
      </w:r>
      <w:r>
        <w:t xml:space="preserve"> </w:t>
      </w:r>
      <w:r>
        <w:t xml:space="preserve">Design of concrete structures.</w:t>
      </w:r>
    </w:p>
    <w:p>
      <w:pPr>
        <w:numPr>
          <w:ilvl w:val="0"/>
          <w:numId w:val="1001"/>
        </w:numPr>
        <w:pStyle w:val="Compact"/>
      </w:pPr>
      <w:r>
        <w:rPr>
          <w:bCs/>
          <w:b/>
        </w:rPr>
        <w:t xml:space="preserve">NBR 12655:</w:t>
      </w:r>
      <w:r>
        <w:t xml:space="preserve"> </w:t>
      </w:r>
      <w:r>
        <w:t xml:space="preserve">Specification for production of concrete by performance.</w:t>
      </w:r>
    </w:p>
    <w:p>
      <w:pPr>
        <w:numPr>
          <w:ilvl w:val="0"/>
          <w:numId w:val="1001"/>
        </w:numPr>
        <w:pStyle w:val="Compact"/>
      </w:pPr>
      <w:r>
        <w:rPr>
          <w:bCs/>
          <w:b/>
        </w:rPr>
        <w:t xml:space="preserve">NBR 15575:</w:t>
      </w:r>
      <w:r>
        <w:t xml:space="preserve"> </w:t>
      </w:r>
      <w:r>
        <w:t xml:space="preserve">Performance standard for residential building constructions.</w:t>
      </w:r>
    </w:p>
    <w:p>
      <w:pPr>
        <w:numPr>
          <w:ilvl w:val="0"/>
          <w:numId w:val="1001"/>
        </w:numPr>
        <w:pStyle w:val="Compact"/>
      </w:pPr>
      <w:r>
        <w:rPr>
          <w:bCs/>
          <w:b/>
        </w:rPr>
        <w:t xml:space="preserve">ABNT NBR 7222:</w:t>
      </w:r>
      <w:r>
        <w:t xml:space="preserve"> </w:t>
      </w:r>
      <w:r>
        <w:t xml:space="preserve">Concrete - Determination of carbonation depth.</w:t>
      </w:r>
    </w:p>
    <w:bookmarkEnd w:id="23"/>
    <w:bookmarkStart w:id="24" w:name="materials-and-equipment"/>
    <w:p>
      <w:pPr>
        <w:pStyle w:val="Heading2"/>
      </w:pPr>
      <w:r>
        <w:t xml:space="preserve">4. Materials and Equipment</w:t>
      </w:r>
    </w:p>
    <w:p>
      <w:pPr>
        <w:pStyle w:val="FirstParagraph"/>
      </w:pPr>
      <w:r>
        <w:t xml:space="preserve">The following equipment is required for the execution of this experiment in the field and laboratory: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Drilling Machine</w:t>
            </w:r>
          </w:p>
        </w:tc>
        <w:tc>
          <w:tcPr/>
          <w:p>
            <w:pPr>
              <w:pStyle w:val="Compact"/>
              <w:jc w:val="left"/>
            </w:pPr>
            <w:r>
              <w:t xml:space="preserve">Hydraulic, diamond-tipped, 100mm diameter</w:t>
            </w:r>
          </w:p>
        </w:tc>
        <w:tc>
          <w:tcPr/>
          <w:p>
            <w:pPr>
              <w:pStyle w:val="Compact"/>
              <w:jc w:val="left"/>
            </w:pPr>
            <w:r>
              <w:t xml:space="preserve">2</w:t>
            </w:r>
          </w:p>
        </w:tc>
      </w:tr>
      <w:tr>
        <w:tc>
          <w:tcPr/>
          <w:p>
            <w:pPr>
              <w:pStyle w:val="Compact"/>
              <w:jc w:val="left"/>
            </w:pPr>
            <w:r>
              <w:t xml:space="preserve">Chloride Ion Analyzer</w:t>
            </w:r>
          </w:p>
        </w:tc>
        <w:tc>
          <w:tcPr/>
          <w:p>
            <w:pPr>
              <w:pStyle w:val="Compact"/>
              <w:jc w:val="left"/>
            </w:pPr>
            <w:r>
              <w:t xml:space="preserve">Titration method compliant with NBR 9772</w:t>
            </w:r>
          </w:p>
        </w:tc>
        <w:tc>
          <w:tcPr/>
          <w:p>
            <w:pPr>
              <w:pStyle w:val="Compact"/>
              <w:jc w:val="left"/>
            </w:pPr>
            <w:r>
              <w:t xml:space="preserve">1</w:t>
            </w:r>
          </w:p>
        </w:tc>
      </w:tr>
      <w:tr>
        <w:tc>
          <w:tcPr/>
          <w:p>
            <w:pPr>
              <w:pStyle w:val="Compact"/>
              <w:jc w:val="left"/>
            </w:pPr>
            <w:r>
              <w:t xml:space="preserve">Phenolphthalein Solution</w:t>
            </w:r>
          </w:p>
        </w:tc>
        <w:tc>
          <w:tcPr/>
          <w:p>
            <w:pPr>
              <w:pStyle w:val="Compact"/>
              <w:jc w:val="left"/>
            </w:pPr>
            <w:r>
              <w:t xml:space="preserve">1% concentration for carbonation testing</w:t>
            </w:r>
          </w:p>
        </w:tc>
        <w:tc>
          <w:tcPr/>
          <w:p>
            <w:pPr>
              <w:pStyle w:val="Compact"/>
              <w:jc w:val="left"/>
            </w:pPr>
            <w:r>
              <w:t xml:space="preserve">5 Liters</w:t>
            </w:r>
          </w:p>
        </w:tc>
      </w:tr>
      <w:tr>
        <w:tc>
          <w:tcPr/>
          <w:p>
            <w:pPr>
              <w:pStyle w:val="Compact"/>
              <w:jc w:val="left"/>
            </w:pPr>
            <w:r>
              <w:t xml:space="preserve">Ultrasonic Pulse Velocity Tester</w:t>
            </w:r>
          </w:p>
        </w:tc>
        <w:tc>
          <w:tcPr/>
          <w:p>
            <w:pPr>
              <w:pStyle w:val="Compact"/>
              <w:jc w:val="left"/>
            </w:pPr>
            <w:r>
              <w:t xml:space="preserve">Frequency 54 kHz</w:t>
            </w:r>
          </w:p>
        </w:tc>
        <w:tc>
          <w:tcPr/>
          <w:p>
            <w:pPr>
              <w:pStyle w:val="Compact"/>
              <w:jc w:val="left"/>
            </w:pPr>
            <w:r>
              <w:t xml:space="preserve">1</w:t>
            </w:r>
          </w:p>
        </w:tc>
      </w:tr>
      <w:tr>
        <w:tc>
          <w:tcPr/>
          <w:p>
            <w:pPr>
              <w:pStyle w:val="Compact"/>
              <w:jc w:val="left"/>
            </w:pPr>
            <w:r>
              <w:t xml:space="preserve">Personal Protective Equipment (PPE)</w:t>
            </w:r>
          </w:p>
        </w:tc>
        <w:tc>
          <w:tcPr/>
          <w:p>
            <w:pPr>
              <w:pStyle w:val="Compact"/>
              <w:jc w:val="left"/>
            </w:pPr>
            <w:r>
              <w:t xml:space="preserve">Helmet, safety glasses, gloves, respirator (N95)</w:t>
            </w:r>
          </w:p>
        </w:tc>
        <w:tc>
          <w:tcPr/>
          <w:p>
            <w:pPr>
              <w:pStyle w:val="Compact"/>
              <w:jc w:val="left"/>
            </w:pPr>
            <w:r>
              <w:t xml:space="preserve">Per Technician</w:t>
            </w:r>
          </w:p>
        </w:tc>
      </w:tr>
    </w:tbl>
    <w:bookmarkEnd w:id="24"/>
    <w:bookmarkStart w:id="30" w:name="methodology"/>
    <w:p>
      <w:pPr>
        <w:pStyle w:val="Heading2"/>
      </w:pPr>
      <w:r>
        <w:t xml:space="preserve">5. Methodology</w:t>
      </w:r>
    </w:p>
    <w:bookmarkStart w:id="25" w:name="site-selection-and-preparation"/>
    <w:p>
      <w:pPr>
        <w:pStyle w:val="Heading3"/>
      </w:pPr>
      <w:r>
        <w:t xml:space="preserve">5.1 Site Selection and Preparation</w:t>
      </w:r>
    </w:p>
    <w:p>
      <w:pPr>
        <w:pStyle w:val="FirstParagraph"/>
      </w:pPr>
      <w:r>
        <w:t xml:space="preserve">The Civil Engineer must select test sites based on exposure classes defined by NBR 6118. In Rio de Janeiro, priority is given to structures in Exposure Class IV (marine environment) and Class III (urban environment with aggressive agents). Before drilling, the area must be cleared of debris, and safety barriers must be erected to protect pedestrians, a critical requirement in the dense urban fabric of Rio.</w:t>
      </w:r>
    </w:p>
    <w:bookmarkEnd w:id="25"/>
    <w:bookmarkStart w:id="26" w:name="sample-extraction"/>
    <w:p>
      <w:pPr>
        <w:pStyle w:val="Heading3"/>
      </w:pPr>
      <w:r>
        <w:t xml:space="preserve">5.2 Sample Extraction</w:t>
      </w:r>
    </w:p>
    <w:p>
      <w:pPr>
        <w:pStyle w:val="FirstParagraph"/>
      </w:pPr>
      <w:r>
        <w:t xml:space="preserve">Concrete cores will be extracted at depths of 5cm, 10cm, and 15cm from the surface. The drilling must be performed perpendicular to the surface to ensure accurate depth measurement. Care must be taken to avoid cutting through reinforcement bars unless specifically analyzing the bond strength between steel and concrete. Each sample must be labeled with the GPS coordinates, date, and exposure direction (e.g., facing the Atlantic Ocean).</w:t>
      </w:r>
    </w:p>
    <w:bookmarkEnd w:id="26"/>
    <w:bookmarkStart w:id="27" w:name="carbonation-depth-test"/>
    <w:p>
      <w:pPr>
        <w:pStyle w:val="Heading3"/>
      </w:pPr>
      <w:r>
        <w:t xml:space="preserve">5.3 Carbonation Depth Test</w:t>
      </w:r>
    </w:p>
    <w:p>
      <w:pPr>
        <w:pStyle w:val="FirstParagraph"/>
      </w:pPr>
      <w:r>
        <w:t xml:space="preserve">Immediately after extraction, the fresh surface of the concrete core is sprayed with phenolphthalein solution. The uncarbonated concrete will turn pink, while the carbonated zone will remain colorless. The depth of the colorless zone is measured using a digital caliper. This test is vital in Rio de Janeiro due to the high CO2 levels in urban centers like Centro and Copacabana, which accelerate carbonation and can depassivate steel reinforcement.</w:t>
      </w:r>
    </w:p>
    <w:bookmarkEnd w:id="27"/>
    <w:bookmarkStart w:id="28" w:name="chloride-ion-content-analysis"/>
    <w:p>
      <w:pPr>
        <w:pStyle w:val="Heading3"/>
      </w:pPr>
      <w:r>
        <w:t xml:space="preserve">5.4 Chloride Ion Content Analysis</w:t>
      </w:r>
    </w:p>
    <w:p>
      <w:pPr>
        <w:pStyle w:val="FirstParagraph"/>
      </w:pPr>
      <w:r>
        <w:t xml:space="preserve">Samples are crushed and sieved to a particle size of less than 0.15mm. The chloride content is determined using the potentiometric titration method. This is the most critical test for structures in Rio de Janeiro due to the aggressive saline environment. The results will be compared against the limit values specified in NBR 6118 to assess the risk of corrosion.</w:t>
      </w:r>
    </w:p>
    <w:bookmarkEnd w:id="28"/>
    <w:bookmarkStart w:id="29" w:name="ultrasonic-pulse-velocity-upv"/>
    <w:p>
      <w:pPr>
        <w:pStyle w:val="Heading3"/>
      </w:pPr>
      <w:r>
        <w:t xml:space="preserve">5.5 Ultrasonic Pulse Velocity (UPV)</w:t>
      </w:r>
    </w:p>
    <w:p>
      <w:pPr>
        <w:pStyle w:val="FirstParagraph"/>
      </w:pPr>
      <w:r>
        <w:t xml:space="preserve">UPV tests are conducted on the structure in situ to assess the homogeneity and detect internal voids or cracks. The transducers are placed on opposite sides of the structural element. Lower velocity readings indicate potential deterioration, which is common in older structures in Rio de Janeiro due to thermal cycling and moisture ingress.</w:t>
      </w:r>
    </w:p>
    <w:bookmarkEnd w:id="29"/>
    <w:bookmarkEnd w:id="30"/>
    <w:bookmarkStart w:id="31" w:name="safety-and-environmental-considerations"/>
    <w:p>
      <w:pPr>
        <w:pStyle w:val="Heading2"/>
      </w:pPr>
      <w:r>
        <w:t xml:space="preserve">6. Safety and Environmental Considerations</w:t>
      </w:r>
    </w:p>
    <w:p>
      <w:pPr>
        <w:pStyle w:val="FirstParagraph"/>
      </w:pPr>
      <w:r>
        <w:t xml:space="preserve">Warning:</w:t>
      </w:r>
      <w:r>
        <w:t xml:space="preserve"> </w:t>
      </w:r>
      <w:r>
        <w:t xml:space="preserve">Working at heights and in coastal areas requires strict adherence to safety protocols. The Civil Engineer is responsible for ensuring that all technicians are trained in working at heights (NR-35) and confined spaces (NR-33) if applicable. Dust generated during drilling must be controlled using water suppression to prevent silica exposure. All waste concrete must be disposed of in accordance with Rio de Janeiro municipal environmental regulations.</w:t>
      </w:r>
    </w:p>
    <w:bookmarkEnd w:id="31"/>
    <w:bookmarkStart w:id="32" w:name="data-analysis-and-reporting"/>
    <w:p>
      <w:pPr>
        <w:pStyle w:val="Heading2"/>
      </w:pPr>
      <w:r>
        <w:t xml:space="preserve">7. Data Analysis and Reporting</w:t>
      </w:r>
    </w:p>
    <w:p>
      <w:pPr>
        <w:pStyle w:val="FirstParagraph"/>
      </w:pPr>
      <w:r>
        <w:t xml:space="preserve">The collected data will be analyzed to determine the corrosion risk index. The Civil Engineer must prepare a detailed report including:</w:t>
      </w:r>
    </w:p>
    <w:p>
      <w:pPr>
        <w:numPr>
          <w:ilvl w:val="0"/>
          <w:numId w:val="1002"/>
        </w:numPr>
        <w:pStyle w:val="Compact"/>
      </w:pPr>
      <w:r>
        <w:t xml:space="preserve">Photographic evidence of the test sites.</w:t>
      </w:r>
    </w:p>
    <w:p>
      <w:pPr>
        <w:numPr>
          <w:ilvl w:val="0"/>
          <w:numId w:val="1002"/>
        </w:numPr>
        <w:pStyle w:val="Compact"/>
      </w:pPr>
      <w:r>
        <w:t xml:space="preserve">Tables of carbonation depth and chloride content.</w:t>
      </w:r>
    </w:p>
    <w:p>
      <w:pPr>
        <w:numPr>
          <w:ilvl w:val="0"/>
          <w:numId w:val="1002"/>
        </w:numPr>
        <w:pStyle w:val="Compact"/>
      </w:pPr>
      <w:r>
        <w:t xml:space="preserve">UPV velocity maps of the structure.</w:t>
      </w:r>
    </w:p>
    <w:p>
      <w:pPr>
        <w:numPr>
          <w:ilvl w:val="0"/>
          <w:numId w:val="1002"/>
        </w:numPr>
        <w:pStyle w:val="Compact"/>
      </w:pPr>
      <w:r>
        <w:t xml:space="preserve">Recommendations for repair or monitoring.</w:t>
      </w:r>
    </w:p>
    <w:p>
      <w:pPr>
        <w:pStyle w:val="FirstParagraph"/>
      </w:pPr>
      <w:r>
        <w:t xml:space="preserve">The report must be submitted to the client and registered with CREA-RJ if it involves structural safety assessments. The findings will contribute to the broader understanding of material durability in the specific climatic conditions of Rio de Janeiro, aiding future civil engineering projects in the region.</w:t>
      </w:r>
    </w:p>
    <w:bookmarkEnd w:id="32"/>
    <w:bookmarkStart w:id="33" w:name="conclusion"/>
    <w:p>
      <w:pPr>
        <w:pStyle w:val="Heading2"/>
      </w:pPr>
      <w:r>
        <w:t xml:space="preserve">8. Conclusion</w:t>
      </w:r>
    </w:p>
    <w:p>
      <w:pPr>
        <w:pStyle w:val="FirstParagraph"/>
      </w:pPr>
      <w:r>
        <w:t xml:space="preserve">This Experiment Protocol provides a standardized approach for Civil Engineers in Rio de Janeiro to assess the condition of concrete structures. By following these procedures, engineers can ensure the safety and longevity of infrastructure in one of Brazil's most challenging environments. Regular execution of these tests is essential for preventive maintenance and risk mitigation.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Rio de Janeiro</dc:title>
  <dc:creator/>
  <dc:language>en</dc:language>
  <cp:keywords/>
  <dcterms:created xsi:type="dcterms:W3CDTF">2026-10-10T07:28:59Z</dcterms:created>
  <dcterms:modified xsi:type="dcterms:W3CDTF">2026-10-10T07:28:59Z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