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Toronto</w:t>
      </w:r>
    </w:p>
    <w:bookmarkStart w:id="31" w:name="X1d38a4e98a681f8357ee2391c2af599e453607a"/>
    <w:p>
      <w:pPr>
        <w:pStyle w:val="Heading1"/>
      </w:pPr>
      <w:r>
        <w:t xml:space="preserve">Experiment Protocol: Civil Engineer - Canada Toronto</w:t>
      </w:r>
    </w:p>
    <w:bookmarkStart w:id="20" w:name="introduction"/>
    <w:p>
      <w:pPr>
        <w:pStyle w:val="Heading2"/>
      </w:pPr>
      <w:r>
        <w:t xml:space="preserve">1. Introduction</w:t>
      </w:r>
    </w:p>
    <w:p>
      <w:pPr>
        <w:pStyle w:val="FirstParagraph"/>
      </w:pPr>
      <w:r>
        <w:t xml:space="preserve">This Experiment Protocol is designed for Civil Engineers operating within the jurisdiction of Canada Toronto. The purpose of this document is to outline the procedures, methodologies, and standards that must be followed when conducting experiments related to civil engineering projects in this region. The protocol ensures compliance with local regulations, safety standards, and best practices while promoting innovation and accuracy in experimental outcomes.</w:t>
      </w:r>
    </w:p>
    <w:p>
      <w:pPr>
        <w:pStyle w:val="BodyText"/>
      </w:pPr>
      <w:r>
        <w:t xml:space="preserve">Civil Engineers in Canada Toronto play a critical role in designing, constructing, and maintaining infrastructure such as roads, bridges, buildings, and water systems. Given the unique environmental, climatic, and regulatory conditions of Toronto, this protocol provides a framework tailored to these specific challenges and opportunities.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establish standardized procedures for conducting experiments in civil engineering projects in Canada Toronto.</w:t>
      </w:r>
    </w:p>
    <w:p>
      <w:pPr>
        <w:numPr>
          <w:ilvl w:val="0"/>
          <w:numId w:val="1001"/>
        </w:numPr>
        <w:pStyle w:val="Compact"/>
      </w:pPr>
      <w:r>
        <w:t xml:space="preserve">To ensure all experiments adhere to the Ontario Building Code, Canadian Standards Association (CSA) guidelines, and other relevant regulations.</w:t>
      </w:r>
    </w:p>
    <w:p>
      <w:pPr>
        <w:numPr>
          <w:ilvl w:val="0"/>
          <w:numId w:val="1001"/>
        </w:numPr>
        <w:pStyle w:val="Compact"/>
      </w:pPr>
      <w:r>
        <w:t xml:space="preserve">To promote safety, accuracy, and reproducibility in experimental results.</w:t>
      </w:r>
    </w:p>
    <w:p>
      <w:pPr>
        <w:numPr>
          <w:ilvl w:val="0"/>
          <w:numId w:val="1001"/>
        </w:numPr>
        <w:pStyle w:val="Compact"/>
      </w:pPr>
      <w:r>
        <w:t xml:space="preserve">To address the unique environmental and climatic conditions of Toronto, including freeze-thaw cycles, heavy snowfall, and urban density.</w:t>
      </w:r>
    </w:p>
    <w:p>
      <w:pPr>
        <w:numPr>
          <w:ilvl w:val="0"/>
          <w:numId w:val="1001"/>
        </w:numPr>
        <w:pStyle w:val="Compact"/>
      </w:pPr>
      <w:r>
        <w:t xml:space="preserve">To facilitate collaboration between Civil Engineers, researchers, and stakeholders in the development of sustainable and resilient infrastructure.</w:t>
      </w:r>
    </w:p>
    <w:bookmarkEnd w:id="21"/>
    <w:bookmarkStart w:id="22" w:name="scope"/>
    <w:p>
      <w:pPr>
        <w:pStyle w:val="Heading2"/>
      </w:pPr>
      <w:r>
        <w:t xml:space="preserve">3. Scope</w:t>
      </w:r>
    </w:p>
    <w:p>
      <w:pPr>
        <w:pStyle w:val="FirstParagraph"/>
      </w:pPr>
      <w:r>
        <w:t xml:space="preserve">This protocol applies to all Civil Engineers and their teams conducting experiments related to structural integrity, material testing, geotechnical analysis, hydrology, transportation systems, and environmental impact assessments within Canada Toronto. It also extends to academic institutions, research organizations, and private firms involved in civil engineering projects in the region.</w:t>
      </w:r>
    </w:p>
    <w:p>
      <w:pPr>
        <w:pStyle w:val="BodyText"/>
      </w:pPr>
      <w:r>
        <w:t xml:space="preserve">The scope includes both laboratory-based experiments and field tests conducted on-site. All activities must align with the principles of sustainability, safety, and ethical responsibility.</w:t>
      </w:r>
    </w:p>
    <w:bookmarkEnd w:id="22"/>
    <w:bookmarkStart w:id="23" w:name="regulatory-compliance"/>
    <w:p>
      <w:pPr>
        <w:pStyle w:val="Heading2"/>
      </w:pPr>
      <w:r>
        <w:t xml:space="preserve">4. Regulatory Compliance</w:t>
      </w:r>
    </w:p>
    <w:p>
      <w:pPr>
        <w:pStyle w:val="FirstParagraph"/>
      </w:pPr>
      <w:r>
        <w:t xml:space="preserve">Civil Engineers in Canada Toronto must ensure that all experiments comply with the following regulations and standards:</w:t>
      </w:r>
    </w:p>
    <w:p>
      <w:pPr>
        <w:numPr>
          <w:ilvl w:val="0"/>
          <w:numId w:val="1002"/>
        </w:numPr>
        <w:pStyle w:val="Compact"/>
      </w:pPr>
      <w:r>
        <w:rPr>
          <w:bCs/>
          <w:b/>
        </w:rPr>
        <w:t xml:space="preserve">Ontario Building Code (OBC):</w:t>
      </w:r>
      <w:r>
        <w:t xml:space="preserve"> </w:t>
      </w:r>
      <w:r>
        <w:t xml:space="preserve">Governs the design, construction, and alteration of buildings and structures.</w:t>
      </w:r>
    </w:p>
    <w:p>
      <w:pPr>
        <w:numPr>
          <w:ilvl w:val="0"/>
          <w:numId w:val="1002"/>
        </w:numPr>
        <w:pStyle w:val="Compact"/>
      </w:pPr>
      <w:r>
        <w:rPr>
          <w:bCs/>
          <w:b/>
        </w:rPr>
        <w:t xml:space="preserve">Canadian Standards Association (CSA):</w:t>
      </w:r>
      <w:r>
        <w:t xml:space="preserve"> </w:t>
      </w:r>
      <w:r>
        <w:t xml:space="preserve">Provides standards for materials, testing methods, and safety practices.</w:t>
      </w:r>
    </w:p>
    <w:p>
      <w:pPr>
        <w:numPr>
          <w:ilvl w:val="0"/>
          <w:numId w:val="1002"/>
        </w:numPr>
        <w:pStyle w:val="Compact"/>
      </w:pPr>
      <w:r>
        <w:rPr>
          <w:bCs/>
          <w:b/>
        </w:rPr>
        <w:t xml:space="preserve">Environmental Protection Act:</w:t>
      </w:r>
      <w:r>
        <w:t xml:space="preserve"> </w:t>
      </w:r>
      <w:r>
        <w:t xml:space="preserve">Ensures experiments do not harm the environment or violate pollution control measures.</w:t>
      </w:r>
    </w:p>
    <w:p>
      <w:pPr>
        <w:numPr>
          <w:ilvl w:val="0"/>
          <w:numId w:val="1002"/>
        </w:numPr>
        <w:pStyle w:val="Compact"/>
      </w:pPr>
      <w:r>
        <w:rPr>
          <w:bCs/>
          <w:b/>
        </w:rPr>
        <w:t xml:space="preserve">Municipal Bylaws:</w:t>
      </w:r>
      <w:r>
        <w:t xml:space="preserve"> </w:t>
      </w:r>
      <w:r>
        <w:t xml:space="preserve">Local regulations specific to Toronto, including zoning laws and heritage preservation requirements.</w:t>
      </w:r>
    </w:p>
    <w:p>
      <w:pPr>
        <w:numPr>
          <w:ilvl w:val="0"/>
          <w:numId w:val="1002"/>
        </w:numPr>
        <w:pStyle w:val="Compact"/>
      </w:pPr>
      <w:r>
        <w:rPr>
          <w:bCs/>
          <w:b/>
        </w:rPr>
        <w:t xml:space="preserve">Health and Safety Regulations:</w:t>
      </w:r>
      <w:r>
        <w:t xml:space="preserve"> </w:t>
      </w:r>
      <w:r>
        <w:t xml:space="preserve">Adherence to workplace safety standards under the Occupational Health and Safety Act (OHSA).</w:t>
      </w:r>
    </w:p>
    <w:p>
      <w:pPr>
        <w:pStyle w:val="FirstParagraph"/>
      </w:pPr>
      <w:r>
        <w:t xml:space="preserve">Failure to comply with these regulations may result in legal consequences, project delays, or reputational damage.</w:t>
      </w:r>
    </w:p>
    <w:bookmarkEnd w:id="23"/>
    <w:bookmarkStart w:id="27" w:name="experimental-design"/>
    <w:p>
      <w:pPr>
        <w:pStyle w:val="Heading2"/>
      </w:pPr>
      <w:r>
        <w:t xml:space="preserve">5. Experimental Design</w:t>
      </w:r>
    </w:p>
    <w:bookmarkStart w:id="24" w:name="planning-phase"/>
    <w:p>
      <w:pPr>
        <w:pStyle w:val="Heading3"/>
      </w:pPr>
      <w:r>
        <w:t xml:space="preserve">5.1 Planning Phase</w:t>
      </w:r>
    </w:p>
    <w:p>
      <w:pPr>
        <w:pStyle w:val="FirstParagraph"/>
      </w:pPr>
      <w:r>
        <w:t xml:space="preserve">Before initiating any experiment, Civil Engineers must develop a comprehensive plan that includes:</w:t>
      </w:r>
    </w:p>
    <w:p>
      <w:pPr>
        <w:numPr>
          <w:ilvl w:val="0"/>
          <w:numId w:val="1003"/>
        </w:numPr>
        <w:pStyle w:val="Compact"/>
      </w:pPr>
      <w:r>
        <w:t xml:space="preserve">A clear statement of objectives and hypotheses.</w:t>
      </w:r>
    </w:p>
    <w:p>
      <w:pPr>
        <w:numPr>
          <w:ilvl w:val="0"/>
          <w:numId w:val="1003"/>
        </w:numPr>
        <w:pStyle w:val="Compact"/>
      </w:pPr>
      <w:r>
        <w:t xml:space="preserve">A detailed methodology outlining the steps to be taken.</w:t>
      </w:r>
    </w:p>
    <w:p>
      <w:pPr>
        <w:numPr>
          <w:ilvl w:val="0"/>
          <w:numId w:val="1003"/>
        </w:numPr>
        <w:pStyle w:val="Compact"/>
      </w:pPr>
      <w:r>
        <w:t xml:space="preserve">A risk assessment identifying potential hazards and mitigation strategies.</w:t>
      </w:r>
    </w:p>
    <w:p>
      <w:pPr>
        <w:numPr>
          <w:ilvl w:val="0"/>
          <w:numId w:val="1003"/>
        </w:numPr>
        <w:pStyle w:val="Compact"/>
      </w:pPr>
      <w:r>
        <w:t xml:space="preserve">A timeline for completion and resource allocation.</w:t>
      </w:r>
    </w:p>
    <w:bookmarkEnd w:id="24"/>
    <w:bookmarkStart w:id="25" w:name="material-selection"/>
    <w:p>
      <w:pPr>
        <w:pStyle w:val="Heading3"/>
      </w:pPr>
      <w:r>
        <w:t xml:space="preserve">5.2 Material Selection</w:t>
      </w:r>
    </w:p>
    <w:p>
      <w:pPr>
        <w:pStyle w:val="FirstParagraph"/>
      </w:pPr>
      <w:r>
        <w:t xml:space="preserve">Materials used in experiments must meet the required standards and be suitable for the environmental conditions of Canada Toronto. For example:</w:t>
      </w:r>
    </w:p>
    <w:p>
      <w:pPr>
        <w:numPr>
          <w:ilvl w:val="0"/>
          <w:numId w:val="1004"/>
        </w:numPr>
        <w:pStyle w:val="Compact"/>
      </w:pPr>
      <w:r>
        <w:t xml:space="preserve">Concrete mixes should account for freeze-thaw resistance.</w:t>
      </w:r>
    </w:p>
    <w:p>
      <w:pPr>
        <w:numPr>
          <w:ilvl w:val="0"/>
          <w:numId w:val="1004"/>
        </w:numPr>
        <w:pStyle w:val="Compact"/>
      </w:pPr>
      <w:r>
        <w:t xml:space="preserve">Steel reinforcements must comply with CSA G40.21 standards.</w:t>
      </w:r>
    </w:p>
    <w:p>
      <w:pPr>
        <w:numPr>
          <w:ilvl w:val="0"/>
          <w:numId w:val="1004"/>
        </w:numPr>
        <w:pStyle w:val="Compact"/>
      </w:pPr>
      <w:r>
        <w:t xml:space="preserve">Geotechnical materials should consider soil types prevalent in Toronto, such as clay and sand deposits.</w:t>
      </w:r>
    </w:p>
    <w:bookmarkEnd w:id="25"/>
    <w:bookmarkStart w:id="26" w:name="data-collection"/>
    <w:p>
      <w:pPr>
        <w:pStyle w:val="Heading3"/>
      </w:pPr>
      <w:r>
        <w:t xml:space="preserve">5.3 Data Collection</w:t>
      </w:r>
    </w:p>
    <w:p>
      <w:pPr>
        <w:pStyle w:val="FirstParagraph"/>
      </w:pPr>
      <w:r>
        <w:t xml:space="preserve">Accurate data collection is essential for reliable results. Civil Engineers must use calibrated instruments and follow standardized procedures. Data should be recorded systematically and stored securely for future reference.</w:t>
      </w:r>
    </w:p>
    <w:bookmarkEnd w:id="26"/>
    <w:bookmarkEnd w:id="27"/>
    <w:bookmarkStart w:id="28" w:name="safety-protocols"/>
    <w:p>
      <w:pPr>
        <w:pStyle w:val="Heading2"/>
      </w:pPr>
      <w:r>
        <w:t xml:space="preserve">6. Safety Protocols</w:t>
      </w:r>
    </w:p>
    <w:p>
      <w:pPr>
        <w:pStyle w:val="FirstParagraph"/>
      </w:pPr>
      <w:r>
        <w:t xml:space="preserve">Safety is a top priority in all experiments conducted by Civil Engineers in Canada Toronto. The following measures must be implemented:</w:t>
      </w:r>
    </w:p>
    <w:p>
      <w:pPr>
        <w:numPr>
          <w:ilvl w:val="0"/>
          <w:numId w:val="1005"/>
        </w:numPr>
        <w:pStyle w:val="Compact"/>
      </w:pPr>
      <w:r>
        <w:t xml:space="preserve">Provide personal protective equipment (PPE) to all personnel.</w:t>
      </w:r>
    </w:p>
    <w:p>
      <w:pPr>
        <w:numPr>
          <w:ilvl w:val="0"/>
          <w:numId w:val="1005"/>
        </w:numPr>
        <w:pStyle w:val="Compact"/>
      </w:pPr>
      <w:r>
        <w:t xml:space="preserve">Conduct regular safety training sessions.</w:t>
      </w:r>
    </w:p>
    <w:p>
      <w:pPr>
        <w:numPr>
          <w:ilvl w:val="0"/>
          <w:numId w:val="1005"/>
        </w:numPr>
        <w:pStyle w:val="Compact"/>
      </w:pPr>
      <w:r>
        <w:t xml:space="preserve">Ensure proper ventilation and waste disposal in laboratory settings.</w:t>
      </w:r>
    </w:p>
    <w:p>
      <w:pPr>
        <w:numPr>
          <w:ilvl w:val="0"/>
          <w:numId w:val="1005"/>
        </w:numPr>
        <w:pStyle w:val="Compact"/>
      </w:pPr>
      <w:r>
        <w:t xml:space="preserve">Implement emergency response plans for accidents or incidents.</w:t>
      </w:r>
    </w:p>
    <w:p>
      <w:pPr>
        <w:pStyle w:val="FirstParagraph"/>
      </w:pPr>
      <w:r>
        <w:t xml:space="preserve">Field tests must also account for traffic management, pedestrian safety, and coordination with local authorities.</w:t>
      </w:r>
    </w:p>
    <w:bookmarkEnd w:id="28"/>
    <w:bookmarkStart w:id="29" w:name="reporting-and-documentation"/>
    <w:p>
      <w:pPr>
        <w:pStyle w:val="Heading2"/>
      </w:pPr>
      <w:r>
        <w:t xml:space="preserve">7. Reporting and Documentation</w:t>
      </w:r>
    </w:p>
    <w:p>
      <w:pPr>
        <w:pStyle w:val="FirstParagraph"/>
      </w:pPr>
      <w:r>
        <w:t xml:space="preserve">Upon completion of the experiment, Civil Engineers must prepare a detailed report that includes:</w:t>
      </w:r>
    </w:p>
    <w:p>
      <w:pPr>
        <w:numPr>
          <w:ilvl w:val="0"/>
          <w:numId w:val="1006"/>
        </w:numPr>
        <w:pStyle w:val="Compact"/>
      </w:pPr>
      <w:r>
        <w:t xml:space="preserve">An executive summary of the objectives and findings.</w:t>
      </w:r>
    </w:p>
    <w:p>
      <w:pPr>
        <w:numPr>
          <w:ilvl w:val="0"/>
          <w:numId w:val="1006"/>
        </w:numPr>
        <w:pStyle w:val="Compact"/>
      </w:pPr>
      <w:r>
        <w:t xml:space="preserve">A description of the methodology and materials used.</w:t>
      </w:r>
    </w:p>
    <w:p>
      <w:pPr>
        <w:numPr>
          <w:ilvl w:val="0"/>
          <w:numId w:val="1006"/>
        </w:numPr>
        <w:pStyle w:val="Compact"/>
      </w:pPr>
      <w:r>
        <w:t xml:space="preserve">Data analysis and interpretation of results.</w:t>
      </w:r>
    </w:p>
    <w:p>
      <w:pPr>
        <w:numPr>
          <w:ilvl w:val="0"/>
          <w:numId w:val="1006"/>
        </w:numPr>
        <w:pStyle w:val="Compact"/>
      </w:pPr>
      <w:r>
        <w:t xml:space="preserve">Recommendations for future actions or improvements.</w:t>
      </w:r>
    </w:p>
    <w:p>
      <w:pPr>
        <w:numPr>
          <w:ilvl w:val="0"/>
          <w:numId w:val="1006"/>
        </w:numPr>
        <w:pStyle w:val="Compact"/>
      </w:pPr>
      <w:r>
        <w:t xml:space="preserve">Appendices containing raw data, photographs, and supporting documents.</w:t>
      </w:r>
    </w:p>
    <w:p>
      <w:pPr>
        <w:pStyle w:val="FirstParagraph"/>
      </w:pPr>
      <w:r>
        <w:t xml:space="preserve">Reports must be submitted to relevant stakeholders, including clients, regulatory bodies, and academic institutions, as applicable.</w:t>
      </w:r>
    </w:p>
    <w:bookmarkEnd w:id="29"/>
    <w:bookmarkStart w:id="30" w:name="conclusion"/>
    <w:p>
      <w:pPr>
        <w:pStyle w:val="Heading2"/>
      </w:pPr>
      <w:r>
        <w:t xml:space="preserve">8. Conclusion</w:t>
      </w:r>
    </w:p>
    <w:p>
      <w:pPr>
        <w:pStyle w:val="FirstParagraph"/>
      </w:pPr>
      <w:r>
        <w:t xml:space="preserve">This Experiment Protocol serves as a guiding document for Civil Engineers operating in Canada Toronto. By adhering to the outlined procedures, engineers can ensure the success, safety, and compliance of their experiments while contributing to the development of sustainable and resilient infrastructure in the region. Continuous improvement and adaptation to emerging technologies and challenges are encouraged to maintain the highest standards of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 - Canada Toronto</dc:title>
  <dc:creator/>
  <dc:language>en</dc:language>
  <cp:keywords/>
  <dcterms:created xsi:type="dcterms:W3CDTF">2026-10-10T00:33:50Z</dcterms:created>
  <dcterms:modified xsi:type="dcterms:W3CDTF">2026-10-10T00:33:50Z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