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Beijing</w:t>
      </w:r>
    </w:p>
    <w:p>
      <w:pPr>
        <w:pStyle w:val="FirstParagraph"/>
      </w:pPr>
      <w:r>
        <w:rPr>
          <w:bCs/>
          <w:b/>
        </w:rPr>
        <w:t xml:space="preserve">Document ID:</w:t>
      </w:r>
      <w:r>
        <w:t xml:space="preserve"> </w:t>
      </w:r>
      <w:r>
        <w:t xml:space="preserve">BEIJ-CE-EXP-2023-004</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Haidian District, China Beijing</w:t>
      </w:r>
      <w:r>
        <w:br/>
      </w:r>
      <w:r>
        <w:rPr>
          <w:bCs/>
          <w:b/>
        </w:rPr>
        <w:t xml:space="preserve">Classification:</w:t>
      </w:r>
      <w:r>
        <w:t xml:space="preserve"> </w:t>
      </w:r>
      <w:r>
        <w:t xml:space="preserve">Internal / Technical</w:t>
      </w:r>
    </w:p>
    <w:bookmarkStart w:id="34" w:name="Xa62f78c61ace5296ce7d138dfe0308968545dde"/>
    <w:p>
      <w:pPr>
        <w:pStyle w:val="Heading1"/>
      </w:pPr>
      <w:r>
        <w:t xml:space="preserve">Experiment Protocol: Seismic Resilience and Material Durability of High-Rise Concrete Structures</w:t>
      </w:r>
    </w:p>
    <w:p>
      <w:pPr>
        <w:pStyle w:val="FirstParagraph"/>
      </w:pPr>
      <w:r>
        <w:rPr>
          <w:bCs/>
          <w:b/>
        </w:rPr>
        <w:t xml:space="preserve">Prepared by:</w:t>
      </w:r>
      <w:r>
        <w:t xml:space="preserve"> </w:t>
      </w:r>
      <w:r>
        <w:t xml:space="preserve">Senior Civil Engineer Team</w:t>
      </w:r>
      <w:r>
        <w:br/>
      </w:r>
      <w:r>
        <w:rPr>
          <w:bCs/>
          <w:b/>
        </w:rPr>
        <w:t xml:space="preserve">Project:</w:t>
      </w:r>
      <w:r>
        <w:t xml:space="preserve"> </w:t>
      </w:r>
      <w:r>
        <w:t xml:space="preserve">Urban Infrastructure Modernization Initiative</w:t>
      </w:r>
      <w:r>
        <w:br/>
      </w:r>
      <w:r>
        <w:rPr>
          <w:bCs/>
          <w:b/>
        </w:rPr>
        <w:t xml:space="preserve">Region:</w:t>
      </w:r>
      <w:r>
        <w:t xml:space="preserve"> </w:t>
      </w:r>
      <w:r>
        <w:t xml:space="preserve">China Beijing Metropolitan Area</w:t>
      </w:r>
    </w:p>
    <w:p>
      <w:pPr>
        <w:pStyle w:val="BodyText"/>
      </w:pPr>
      <w:r>
        <w:rPr>
          <w:bCs/>
          <w:b/>
        </w:rPr>
        <w:t xml:space="preserve">Objective:</w:t>
      </w:r>
      <w:r>
        <w:t xml:space="preserve"> </w:t>
      </w:r>
      <w:r>
        <w:t xml:space="preserve">To evaluate the performance of reinforced concrete specimens under simulated seismic loads and environmental stressors specific to the geological and climatic conditions of China Beijing.</w:t>
      </w:r>
    </w:p>
    <w:bookmarkStart w:id="20" w:name="introduction-and-background"/>
    <w:p>
      <w:pPr>
        <w:pStyle w:val="Heading2"/>
      </w:pPr>
      <w:r>
        <w:t xml:space="preserve">1. Introduction and Background</w:t>
      </w:r>
    </w:p>
    <w:p>
      <w:pPr>
        <w:pStyle w:val="FirstParagraph"/>
      </w:pPr>
      <w:r>
        <w:t xml:space="preserve">As a Civil Engineer operating within the rapidly developing urban landscape of China Beijing, ensuring the structural integrity of high-rise buildings is paramount. Beijing is situated in a region with significant seismic activity history and experiences distinct seasonal variations, including freezing winters and humid summers. This Experiment Protocol outlines the methodology for testing new composite concrete mixes designed to withstand these specific regional challenges. The protocol adheres to the national standards of the People's Republic of China (GB Standards) while incorporating international best practices for structural engineering.</w:t>
      </w:r>
    </w:p>
    <w:bookmarkEnd w:id="20"/>
    <w:bookmarkStart w:id="21" w:name="scope-of-the-experiment"/>
    <w:p>
      <w:pPr>
        <w:pStyle w:val="Heading2"/>
      </w:pPr>
      <w:r>
        <w:t xml:space="preserve">2. Scope of the Experiment</w:t>
      </w:r>
    </w:p>
    <w:p>
      <w:pPr>
        <w:pStyle w:val="FirstParagraph"/>
      </w:pPr>
      <w:r>
        <w:t xml:space="preserve">This protocol applies to the testing of reinforced concrete columns and beam-column joints. The scope includes:</w:t>
      </w:r>
    </w:p>
    <w:p>
      <w:pPr>
        <w:numPr>
          <w:ilvl w:val="0"/>
          <w:numId w:val="1001"/>
        </w:numPr>
        <w:pStyle w:val="Compact"/>
      </w:pPr>
      <w:r>
        <w:t xml:space="preserve">Material characterization of concrete mixes incorporating fly ash from local Beijing power plants.</w:t>
      </w:r>
    </w:p>
    <w:p>
      <w:pPr>
        <w:numPr>
          <w:ilvl w:val="0"/>
          <w:numId w:val="1001"/>
        </w:numPr>
        <w:pStyle w:val="Compact"/>
      </w:pPr>
      <w:r>
        <w:t xml:space="preserve">Seismic load testing using a shake table simulation.</w:t>
      </w:r>
    </w:p>
    <w:p>
      <w:pPr>
        <w:numPr>
          <w:ilvl w:val="0"/>
          <w:numId w:val="1001"/>
        </w:numPr>
        <w:pStyle w:val="Compact"/>
      </w:pPr>
      <w:r>
        <w:t xml:space="preserve">Durability testing against freeze-thaw cycles typical of the Beijing winter.</w:t>
      </w:r>
    </w:p>
    <w:p>
      <w:pPr>
        <w:numPr>
          <w:ilvl w:val="0"/>
          <w:numId w:val="1001"/>
        </w:numPr>
        <w:pStyle w:val="Compact"/>
      </w:pPr>
      <w:r>
        <w:t xml:space="preserve">Analysis of crack propagation and energy dissipation capabilities.</w:t>
      </w:r>
    </w:p>
    <w:bookmarkEnd w:id="21"/>
    <w:bookmarkStart w:id="22" w:name="regulatory-compliance-and-standards"/>
    <w:p>
      <w:pPr>
        <w:pStyle w:val="Heading2"/>
      </w:pPr>
      <w:r>
        <w:t xml:space="preserve">3. Regulatory Compliance and Standards</w:t>
      </w:r>
    </w:p>
    <w:p>
      <w:pPr>
        <w:pStyle w:val="FirstParagraph"/>
      </w:pPr>
      <w:r>
        <w:t xml:space="preserve">All procedures must strictly comply with the following regulations relevant to Civil Engineering in China:</w:t>
      </w:r>
    </w:p>
    <w:p>
      <w:pPr>
        <w:numPr>
          <w:ilvl w:val="0"/>
          <w:numId w:val="1002"/>
        </w:numPr>
        <w:pStyle w:val="Compact"/>
      </w:pPr>
      <w:r>
        <w:rPr>
          <w:bCs/>
          <w:b/>
        </w:rPr>
        <w:t xml:space="preserve">GB 50010-2010:</w:t>
      </w:r>
      <w:r>
        <w:t xml:space="preserve"> </w:t>
      </w:r>
      <w:r>
        <w:t xml:space="preserve">Code for Design of Concrete Structures.</w:t>
      </w:r>
    </w:p>
    <w:p>
      <w:pPr>
        <w:numPr>
          <w:ilvl w:val="0"/>
          <w:numId w:val="1002"/>
        </w:numPr>
        <w:pStyle w:val="Compact"/>
      </w:pPr>
      <w:r>
        <w:rPr>
          <w:bCs/>
          <w:b/>
        </w:rPr>
        <w:t xml:space="preserve">GB 50011-2010:</w:t>
      </w:r>
      <w:r>
        <w:t xml:space="preserve"> </w:t>
      </w:r>
      <w:r>
        <w:t xml:space="preserve">Code for Seismic Design of Buildings.</w:t>
      </w:r>
    </w:p>
    <w:p>
      <w:pPr>
        <w:numPr>
          <w:ilvl w:val="0"/>
          <w:numId w:val="1002"/>
        </w:numPr>
        <w:pStyle w:val="Compact"/>
      </w:pPr>
      <w:r>
        <w:rPr>
          <w:bCs/>
          <w:b/>
        </w:rPr>
        <w:t xml:space="preserve">GB/T 50081:</w:t>
      </w:r>
      <w:r>
        <w:t xml:space="preserve"> </w:t>
      </w:r>
      <w:r>
        <w:t xml:space="preserve">Standard for Test Method of Mechanical Properties on Ordinary Concrete.</w:t>
      </w:r>
    </w:p>
    <w:p>
      <w:pPr>
        <w:numPr>
          <w:ilvl w:val="0"/>
          <w:numId w:val="1002"/>
        </w:numPr>
        <w:pStyle w:val="Compact"/>
      </w:pPr>
      <w:r>
        <w:t xml:space="preserve">Local Beijing Municipal Construction Commission guidelines for high-density urban construction.</w:t>
      </w:r>
    </w:p>
    <w:bookmarkEnd w:id="22"/>
    <w:bookmarkStart w:id="25" w:name="materials-and-equipment"/>
    <w:p>
      <w:pPr>
        <w:pStyle w:val="Heading2"/>
      </w:pPr>
      <w:r>
        <w:t xml:space="preserve">4. Materials and Equipment</w:t>
      </w:r>
    </w:p>
    <w:bookmarkStart w:id="23" w:name="materials"/>
    <w:p>
      <w:pPr>
        <w:pStyle w:val="Heading3"/>
      </w:pPr>
      <w:r>
        <w:t xml:space="preserve">4.1 Materials</w:t>
      </w:r>
    </w:p>
    <w:p>
      <w:pPr>
        <w:pStyle w:val="FirstParagraph"/>
      </w:pPr>
      <w:r>
        <w:t xml:space="preserve">The Civil Engineer must verify the quality of all raw materials prior to mixing. Cement shall be P.O 42.5 grade. Aggregates must be sourced from approved quarries within the Beijing-Tianjin-Hebei region to ensure consistent mineral composition. Reinforcement steel must meet GB 1499.2 standards.</w:t>
      </w:r>
    </w:p>
    <w:bookmarkEnd w:id="23"/>
    <w:bookmarkStart w:id="24" w:name="equipment"/>
    <w:p>
      <w:pPr>
        <w:pStyle w:val="Heading3"/>
      </w:pPr>
      <w:r>
        <w:t xml:space="preserve">4.2 Equipment</w:t>
      </w:r>
    </w:p>
    <w:p>
      <w:pPr>
        <w:pStyle w:val="FirstParagraph"/>
      </w:pPr>
      <w:r>
        <w:t xml:space="preserve">The experiment requires the use of a servo-hydraulic loading system capable of applying cyclic loads. A high-precision strain gauge network will be installed on the specimens. Additionally, a freeze-thaw chamber capable of reaching -20°C is required to simulate Beijing's winter conditions.</w:t>
      </w:r>
    </w:p>
    <w:bookmarkEnd w:id="24"/>
    <w:bookmarkEnd w:id="25"/>
    <w:bookmarkStart w:id="30" w:name="experimental-procedure"/>
    <w:p>
      <w:pPr>
        <w:pStyle w:val="Heading2"/>
      </w:pPr>
      <w:r>
        <w:t xml:space="preserve">5. Experimental Procedure</w:t>
      </w:r>
    </w:p>
    <w:bookmarkStart w:id="26" w:name="specimen-preparation"/>
    <w:p>
      <w:pPr>
        <w:pStyle w:val="Heading3"/>
      </w:pPr>
      <w:r>
        <w:t xml:space="preserve">5.1 Specimen Preparation</w:t>
      </w:r>
    </w:p>
    <w:p>
      <w:pPr>
        <w:pStyle w:val="FirstParagraph"/>
      </w:pPr>
      <w:r>
        <w:t xml:space="preserve">Cast twelve (12) beam-column joint specimens. Each specimen must be cured for 28 days in a controlled environment at 20°C ± 2°C and relative humidity of 95%. The Civil Engineer responsible must document the curing process daily.</w:t>
      </w:r>
    </w:p>
    <w:bookmarkEnd w:id="26"/>
    <w:bookmarkStart w:id="27" w:name="instrumentation"/>
    <w:p>
      <w:pPr>
        <w:pStyle w:val="Heading3"/>
      </w:pPr>
      <w:r>
        <w:t xml:space="preserve">5.2 Instrumentation</w:t>
      </w:r>
    </w:p>
    <w:p>
      <w:pPr>
        <w:pStyle w:val="FirstParagraph"/>
      </w:pPr>
      <w:r>
        <w:t xml:space="preserve">Install displacement transducers at critical points to measure drift ratios. Attach strain gauges to the longitudinal reinforcement to monitor stress levels. Ensure all sensors are calibrated according to manufacturer specifications before the test begins.</w:t>
      </w:r>
    </w:p>
    <w:bookmarkEnd w:id="27"/>
    <w:bookmarkStart w:id="28" w:name="loading-protocol"/>
    <w:p>
      <w:pPr>
        <w:pStyle w:val="Heading3"/>
      </w:pPr>
      <w:r>
        <w:t xml:space="preserve">5.3 Loading Protocol</w:t>
      </w:r>
    </w:p>
    <w:p>
      <w:pPr>
        <w:pStyle w:val="FirstParagraph"/>
      </w:pPr>
      <w:r>
        <w:t xml:space="preserve">Apply monotonic vertical loads to simulate gravity loads. Subsequently, apply cyclic lateral loads to simulate seismic activity. The loading pattern should follow the displacement control method, increasing the amplitude in steps until the specimen reaches 80% of its peak load capacity or exhibits significant structural failure.</w:t>
      </w:r>
    </w:p>
    <w:bookmarkEnd w:id="28"/>
    <w:bookmarkStart w:id="29" w:name="environmental-stress-testing"/>
    <w:p>
      <w:pPr>
        <w:pStyle w:val="Heading3"/>
      </w:pPr>
      <w:r>
        <w:t xml:space="preserve">5.4 Environmental Stress Testing</w:t>
      </w:r>
    </w:p>
    <w:p>
      <w:pPr>
        <w:pStyle w:val="FirstParagraph"/>
      </w:pPr>
      <w:r>
        <w:t xml:space="preserve">Select three (3) specimens for freeze-thaw testing. Subject these specimens to 100 cycles of freezing and thawing. This step is crucial for China Beijing, where de-icing salts and temperature fluctuations can degrade concrete over time.</w:t>
      </w:r>
    </w:p>
    <w:bookmarkEnd w:id="29"/>
    <w:bookmarkEnd w:id="30"/>
    <w:bookmarkStart w:id="31" w:name="data-collection-and-analysis"/>
    <w:p>
      <w:pPr>
        <w:pStyle w:val="Heading2"/>
      </w:pPr>
      <w:r>
        <w:t xml:space="preserve">6. Data Collection and Analysis</w:t>
      </w:r>
    </w:p>
    <w:p>
      <w:pPr>
        <w:pStyle w:val="FirstParagraph"/>
      </w:pPr>
      <w:r>
        <w:t xml:space="preserve">The Civil Engineer must record the following data points continuously:</w:t>
      </w:r>
    </w:p>
    <w:p>
      <w:pPr>
        <w:numPr>
          <w:ilvl w:val="0"/>
          <w:numId w:val="1003"/>
        </w:numPr>
        <w:pStyle w:val="Compact"/>
      </w:pPr>
      <w:r>
        <w:t xml:space="preserve">Load vs. Displacement curves.</w:t>
      </w:r>
    </w:p>
    <w:p>
      <w:pPr>
        <w:numPr>
          <w:ilvl w:val="0"/>
          <w:numId w:val="1003"/>
        </w:numPr>
        <w:pStyle w:val="Compact"/>
      </w:pPr>
      <w:r>
        <w:t xml:space="preserve">Hysteresis loops to evaluate energy dissipation.</w:t>
      </w:r>
    </w:p>
    <w:p>
      <w:pPr>
        <w:numPr>
          <w:ilvl w:val="0"/>
          <w:numId w:val="1003"/>
        </w:numPr>
        <w:pStyle w:val="Compact"/>
      </w:pPr>
      <w:r>
        <w:t xml:space="preserve">Crack width and propagation patterns.</w:t>
      </w:r>
    </w:p>
    <w:p>
      <w:pPr>
        <w:numPr>
          <w:ilvl w:val="0"/>
          <w:numId w:val="1003"/>
        </w:numPr>
        <w:pStyle w:val="Compact"/>
      </w:pPr>
      <w:r>
        <w:t xml:space="preserve">Strain distribution in reinforcement bars.</w:t>
      </w:r>
    </w:p>
    <w:p>
      <w:pPr>
        <w:pStyle w:val="FirstParagraph"/>
      </w:pPr>
      <w:r>
        <w:t xml:space="preserve">Data analysis will focus on determining the ductility coefficient and the stiffness degradation ratio. Results will be compared against the baseline requirements set by the Beijing Municipal Housing and Urban-Rural Development Commission.</w:t>
      </w:r>
    </w:p>
    <w:bookmarkEnd w:id="31"/>
    <w:bookmarkStart w:id="32" w:name="safety-and-risk-management"/>
    <w:p>
      <w:pPr>
        <w:pStyle w:val="Heading2"/>
      </w:pPr>
      <w:r>
        <w:t xml:space="preserve">7. Safety and Risk Management</w:t>
      </w:r>
    </w:p>
    <w:p>
      <w:pPr>
        <w:pStyle w:val="FirstParagraph"/>
      </w:pPr>
      <w:r>
        <w:t xml:space="preserve">Safety is the highest priority. All personnel must wear appropriate Personal Protective Equipment (PPE), including hard hats, safety glasses, and steel-toed boots. The testing area must be cordoned off during high-load phases. An emergency stop mechanism must be accessible at all times. In the event of specimen failure, all personnel must evacuate the immediate vicinity to prevent injury from flying debris.</w:t>
      </w:r>
    </w:p>
    <w:bookmarkEnd w:id="32"/>
    <w:bookmarkStart w:id="33" w:name="reporting-and-documentation"/>
    <w:p>
      <w:pPr>
        <w:pStyle w:val="Heading2"/>
      </w:pPr>
      <w:r>
        <w:t xml:space="preserve">8. Reporting and Documentation</w:t>
      </w:r>
    </w:p>
    <w:p>
      <w:pPr>
        <w:pStyle w:val="FirstParagraph"/>
      </w:pPr>
      <w:r>
        <w:t xml:space="preserve">Upon completion of the experiment, a comprehensive report must be submitted. This report should include raw data, analysis results, photographs of the specimens at various stages of loading, and recommendations for design modifications. The report must be reviewed by a licensed Civil Engineer registered in China before being submitted to the project stakeholders.</w:t>
      </w:r>
    </w:p>
    <w:p>
      <w:pPr>
        <w:pStyle w:val="BodyText"/>
      </w:pPr>
      <w:r>
        <w:rPr>
          <w:bCs/>
          <w:b/>
        </w:rPr>
        <w:t xml:space="preserve">Lead Civil Engineer</w:t>
      </w:r>
      <w:r>
        <w:br/>
      </w:r>
      <w:r>
        <w:t xml:space="preserve">Signature: ____________________</w:t>
      </w:r>
    </w:p>
    <w:p>
      <w:pPr>
        <w:pStyle w:val="BodyText"/>
      </w:pPr>
      <w:r>
        <w:rPr>
          <w:bCs/>
          <w:b/>
        </w:rPr>
        <w:t xml:space="preserve">Project Manager</w:t>
      </w:r>
      <w:r>
        <w:br/>
      </w:r>
      <w:r>
        <w:t xml:space="preserve">Signature: ____________________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Beijing</dc:title>
  <dc:creator/>
  <dc:language>en</dc:language>
  <cp:keywords/>
  <dcterms:created xsi:type="dcterms:W3CDTF">2026-10-10T05:42:35Z</dcterms:created>
  <dcterms:modified xsi:type="dcterms:W3CDTF">2026-10-10T05:42:35Z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