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Civil</w:t>
      </w:r>
      <w:r>
        <w:t xml:space="preserve"> </w:t>
      </w:r>
      <w:r>
        <w:t xml:space="preserve">Engineering</w:t>
      </w:r>
      <w:r>
        <w:t xml:space="preserve"> </w:t>
      </w:r>
      <w:r>
        <w:t xml:space="preserve">Structural</w:t>
      </w:r>
      <w:r>
        <w:t xml:space="preserve"> </w:t>
      </w:r>
      <w:r>
        <w:t xml:space="preserve">Integrity</w:t>
      </w:r>
      <w:r>
        <w:t xml:space="preserve"> </w:t>
      </w:r>
      <w:r>
        <w:t xml:space="preserve">Assessment</w:t>
      </w:r>
    </w:p>
    <w:bookmarkStart w:id="20" w:name="X5aa7bc16d871f995deba4e358924d0a717465a9"/>
    <w:p>
      <w:pPr>
        <w:pStyle w:val="Heading1"/>
      </w:pPr>
      <w:r>
        <w:t xml:space="preserve">Experiment Protocol: Structural Integrity Assessment of Reinforced Concrete Elements</w:t>
      </w:r>
    </w:p>
    <w:p>
      <w:pPr>
        <w:pStyle w:val="FirstParagraph"/>
      </w:pPr>
      <w:r>
        <w:rPr>
          <w:bCs/>
          <w:b/>
        </w:rPr>
        <w:t xml:space="preserve">Location:</w:t>
      </w:r>
      <w:r>
        <w:t xml:space="preserve"> </w:t>
      </w:r>
      <w:r>
        <w:t xml:space="preserve">Berlin, Germany</w:t>
      </w:r>
    </w:p>
    <w:p>
      <w:pPr>
        <w:pStyle w:val="BodyText"/>
      </w:pPr>
      <w:r>
        <w:rPr>
          <w:bCs/>
          <w:b/>
        </w:rPr>
        <w:t xml:space="preserve">Discipline:</w:t>
      </w:r>
      <w:r>
        <w:t xml:space="preserve"> </w:t>
      </w:r>
      <w:r>
        <w:t xml:space="preserve">Civil Engineering</w:t>
      </w:r>
    </w:p>
    <w:p>
      <w:pPr>
        <w:pStyle w:val="BodyText"/>
      </w:pPr>
      <w:r>
        <w:rPr>
          <w:bCs/>
          <w:b/>
        </w:rPr>
        <w:t xml:space="preserve">Protocol ID:</w:t>
      </w:r>
      <w:r>
        <w:t xml:space="preserve"> </w:t>
      </w:r>
      <w:r>
        <w:t xml:space="preserve">BE-CE-2023-045</w:t>
      </w:r>
    </w:p>
    <w:p>
      <w:pPr>
        <w:pStyle w:val="BodyText"/>
      </w:pPr>
      <w:r>
        <w:rPr>
          <w:bCs/>
          <w:b/>
        </w:rPr>
        <w:t xml:space="preserve">Date:</w:t>
      </w:r>
      <w:r>
        <w:t xml:space="preserve"> </w:t>
      </w:r>
      <w:r>
        <w:t xml:space="preserve">October 24, 2023</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assessing the structural integrity of reinforced concrete elements in existing infrastructure within Berlin, Germany. The primary objective is to evaluate the load-bearing capacity and durability of concrete structures subjected to environmental stressors typical of the Berlin climate, including freeze-thaw cycles and urban pollution. This protocol is designed for use by civil engineers adhering to German standards (DIN) and European norms (EN).</w:t>
      </w:r>
    </w:p>
    <w:p>
      <w:pPr>
        <w:pStyle w:val="BodyText"/>
      </w:pPr>
      <w:r>
        <w:t xml:space="preserve">The experiment aims to provide empirical data that will inform maintenance strategies and potential retrofitting requirements for civil engineering projects in the region. By following this protocol, engineers can ensure compliance with safety regulations and contribute to the sustainable management of Berlin's infrastructure.</w:t>
      </w:r>
    </w:p>
    <w:bookmarkEnd w:id="21"/>
    <w:bookmarkStart w:id="22" w:name="scope-and-applicability"/>
    <w:p>
      <w:pPr>
        <w:pStyle w:val="Heading2"/>
      </w:pPr>
      <w:r>
        <w:t xml:space="preserve">2. Scope and Applicability</w:t>
      </w:r>
    </w:p>
    <w:p>
      <w:pPr>
        <w:pStyle w:val="FirstParagraph"/>
      </w:pPr>
      <w:r>
        <w:t xml:space="preserve">This protocol applies to civil engineering projects involving the assessment of reinforced concrete structures in Berlin, Germany. It is particularly relevant for bridges, tunnels, and public buildings constructed between 1960 and 1990, which may be susceptible to degradation due to age and environmental factors. The procedures described herein are aligned with the requirements of the German Institute for Standardization (DIN) and the European Committee for Standardization (CEN).</w:t>
      </w:r>
    </w:p>
    <w:bookmarkEnd w:id="22"/>
    <w:bookmarkStart w:id="23" w:name="materials-and-equipment"/>
    <w:p>
      <w:pPr>
        <w:pStyle w:val="Heading2"/>
      </w:pPr>
      <w:r>
        <w:t xml:space="preserve">3. Materials and Equipment</w:t>
      </w:r>
    </w:p>
    <w:p>
      <w:pPr>
        <w:pStyle w:val="FirstParagraph"/>
      </w:pPr>
      <w:r>
        <w:t xml:space="preserve">The following materials and equipment are required for the execution of this experiment:</w:t>
      </w:r>
    </w:p>
    <w:p>
      <w:pPr>
        <w:numPr>
          <w:ilvl w:val="0"/>
          <w:numId w:val="1001"/>
        </w:numPr>
        <w:pStyle w:val="Compact"/>
      </w:pPr>
      <w:r>
        <w:t xml:space="preserve">Ultrasonic Pulse Velocity (UPV) Tester</w:t>
      </w:r>
    </w:p>
    <w:p>
      <w:pPr>
        <w:numPr>
          <w:ilvl w:val="0"/>
          <w:numId w:val="1001"/>
        </w:numPr>
        <w:pStyle w:val="Compact"/>
      </w:pPr>
      <w:r>
        <w:t xml:space="preserve">Rebound Hammer (Schmidt Hammer)</w:t>
      </w:r>
    </w:p>
    <w:p>
      <w:pPr>
        <w:numPr>
          <w:ilvl w:val="0"/>
          <w:numId w:val="1001"/>
        </w:numPr>
        <w:pStyle w:val="Compact"/>
      </w:pPr>
      <w:r>
        <w:t xml:space="preserve">Half-Cell Potential Mapping Equipment</w:t>
      </w:r>
    </w:p>
    <w:p>
      <w:pPr>
        <w:numPr>
          <w:ilvl w:val="0"/>
          <w:numId w:val="1001"/>
        </w:numPr>
        <w:pStyle w:val="Compact"/>
      </w:pPr>
      <w:r>
        <w:t xml:space="preserve">Core Drilling Machine</w:t>
      </w:r>
    </w:p>
    <w:p>
      <w:pPr>
        <w:numPr>
          <w:ilvl w:val="0"/>
          <w:numId w:val="1001"/>
        </w:numPr>
        <w:pStyle w:val="Compact"/>
      </w:pPr>
      <w:r>
        <w:t xml:space="preserve">Concrete Compressive Strength Testing Machine</w:t>
      </w:r>
    </w:p>
    <w:p>
      <w:pPr>
        <w:numPr>
          <w:ilvl w:val="0"/>
          <w:numId w:val="1001"/>
        </w:numPr>
        <w:pStyle w:val="Compact"/>
      </w:pPr>
      <w:r>
        <w:t xml:space="preserve">Chloride Ion Content Analysis Kit</w:t>
      </w:r>
    </w:p>
    <w:p>
      <w:pPr>
        <w:numPr>
          <w:ilvl w:val="0"/>
          <w:numId w:val="1001"/>
        </w:numPr>
        <w:pStyle w:val="Compact"/>
      </w:pPr>
      <w:r>
        <w:t xml:space="preserve">Personal Protective Equipment (PPE) compliant with German safety standards</w:t>
      </w:r>
    </w:p>
    <w:bookmarkEnd w:id="23"/>
    <w:bookmarkStart w:id="27" w:name="methodology"/>
    <w:p>
      <w:pPr>
        <w:pStyle w:val="Heading2"/>
      </w:pPr>
      <w:r>
        <w:t xml:space="preserve">4. Methodology</w:t>
      </w:r>
    </w:p>
    <w:bookmarkStart w:id="24" w:name="site-selection-and-preparation"/>
    <w:p>
      <w:pPr>
        <w:pStyle w:val="Heading3"/>
      </w:pPr>
      <w:r>
        <w:t xml:space="preserve">4.1 Site Selection and Preparation</w:t>
      </w:r>
    </w:p>
    <w:p>
      <w:pPr>
        <w:pStyle w:val="FirstParagraph"/>
      </w:pPr>
      <w:r>
        <w:t xml:space="preserve">The site for the experiment will be selected based on the age of the structure, visible signs of deterioration, and its importance within Berlin's infrastructure network. Prior to testing, the area will be cleared of debris, and safety barriers will be erected in accordance with local regulations.</w:t>
      </w:r>
    </w:p>
    <w:bookmarkEnd w:id="24"/>
    <w:bookmarkStart w:id="25" w:name="non-destructive-testing-ndt"/>
    <w:p>
      <w:pPr>
        <w:pStyle w:val="Heading3"/>
      </w:pPr>
      <w:r>
        <w:t xml:space="preserve">4.2 Non-Destructive Testing (NDT)</w:t>
      </w:r>
    </w:p>
    <w:p>
      <w:pPr>
        <w:pStyle w:val="FirstParagraph"/>
      </w:pPr>
      <w:r>
        <w:t xml:space="preserve">Non-destructive testing methods will be employed to assess the condition of the concrete without causing damage. The following procedures will be carried out:</w:t>
      </w:r>
    </w:p>
    <w:p>
      <w:pPr>
        <w:numPr>
          <w:ilvl w:val="0"/>
          <w:numId w:val="1002"/>
        </w:numPr>
        <w:pStyle w:val="Compact"/>
      </w:pPr>
      <w:r>
        <w:rPr>
          <w:bCs/>
          <w:b/>
        </w:rPr>
        <w:t xml:space="preserve">Ultrasonic Pulse Velocity (UPV) Testing:</w:t>
      </w:r>
      <w:r>
        <w:t xml:space="preserve"> </w:t>
      </w:r>
      <w:r>
        <w:t xml:space="preserve">This method will be used to evaluate the homogeneity and quality of the concrete. Measurements will be taken at multiple points across the structure to identify areas of potential weakness.</w:t>
      </w:r>
    </w:p>
    <w:p>
      <w:pPr>
        <w:numPr>
          <w:ilvl w:val="0"/>
          <w:numId w:val="1002"/>
        </w:numPr>
        <w:pStyle w:val="Compact"/>
      </w:pPr>
      <w:r>
        <w:rPr>
          <w:bCs/>
          <w:b/>
        </w:rPr>
        <w:t xml:space="preserve">Rebound Hammer Testing:</w:t>
      </w:r>
      <w:r>
        <w:t xml:space="preserve"> </w:t>
      </w:r>
      <w:r>
        <w:t xml:space="preserve">The Schmidt Hammer will be used to estimate the surface hardness of the concrete, which correlates with its compressive strength. Readings will be recorded at regular intervals.</w:t>
      </w:r>
    </w:p>
    <w:p>
      <w:pPr>
        <w:numPr>
          <w:ilvl w:val="0"/>
          <w:numId w:val="1002"/>
        </w:numPr>
        <w:pStyle w:val="Compact"/>
      </w:pPr>
      <w:r>
        <w:rPr>
          <w:bCs/>
          <w:b/>
        </w:rPr>
        <w:t xml:space="preserve">Half-Cell Potential Mapping:</w:t>
      </w:r>
      <w:r>
        <w:t xml:space="preserve"> </w:t>
      </w:r>
      <w:r>
        <w:t xml:space="preserve">This technique will be employed to assess the risk of corrosion in the reinforcing steel. A grid will be established on the concrete surface, and potential measurements will be taken at each intersection.</w:t>
      </w:r>
    </w:p>
    <w:bookmarkEnd w:id="25"/>
    <w:bookmarkStart w:id="26" w:name="destructive-testing"/>
    <w:p>
      <w:pPr>
        <w:pStyle w:val="Heading3"/>
      </w:pPr>
      <w:r>
        <w:t xml:space="preserve">4.3 Destructive Testing</w:t>
      </w:r>
    </w:p>
    <w:p>
      <w:pPr>
        <w:pStyle w:val="FirstParagraph"/>
      </w:pPr>
      <w:r>
        <w:t xml:space="preserve">In addition to NDT, destructive testing will be conducted to obtain more precise data on the concrete's properties. The following procedures will be followed:</w:t>
      </w:r>
    </w:p>
    <w:p>
      <w:pPr>
        <w:numPr>
          <w:ilvl w:val="0"/>
          <w:numId w:val="1003"/>
        </w:numPr>
        <w:pStyle w:val="Compact"/>
      </w:pPr>
      <w:r>
        <w:rPr>
          <w:bCs/>
          <w:b/>
        </w:rPr>
        <w:t xml:space="preserve">Core Sampling:</w:t>
      </w:r>
      <w:r>
        <w:t xml:space="preserve"> </w:t>
      </w:r>
      <w:r>
        <w:t xml:space="preserve">Concrete cores will be extracted from selected locations using a core drilling machine. These samples will be used for further laboratory analysis.</w:t>
      </w:r>
    </w:p>
    <w:p>
      <w:pPr>
        <w:numPr>
          <w:ilvl w:val="0"/>
          <w:numId w:val="1003"/>
        </w:numPr>
        <w:pStyle w:val="Compact"/>
      </w:pPr>
      <w:r>
        <w:rPr>
          <w:bCs/>
          <w:b/>
        </w:rPr>
        <w:t xml:space="preserve">Compressive Strength Testing:</w:t>
      </w:r>
      <w:r>
        <w:t xml:space="preserve"> </w:t>
      </w:r>
      <w:r>
        <w:t xml:space="preserve">The extracted cores will be tested for compressive strength using a concrete testing machine. The results will be compared with the design specifications to assess the structure's load-bearing capacity.</w:t>
      </w:r>
    </w:p>
    <w:p>
      <w:pPr>
        <w:numPr>
          <w:ilvl w:val="0"/>
          <w:numId w:val="1003"/>
        </w:numPr>
        <w:pStyle w:val="Compact"/>
      </w:pPr>
      <w:r>
        <w:rPr>
          <w:bCs/>
          <w:b/>
        </w:rPr>
        <w:t xml:space="preserve">Chloride Ion Content Analysis:</w:t>
      </w:r>
      <w:r>
        <w:t xml:space="preserve"> </w:t>
      </w:r>
      <w:r>
        <w:t xml:space="preserve">The chloride ion content in the concrete cores will be analyzed to determine the risk of reinforcement corrosion. This is particularly important in Berlin, where de-icing salts are commonly used on roads and bridges.</w:t>
      </w:r>
    </w:p>
    <w:bookmarkEnd w:id="26"/>
    <w:bookmarkEnd w:id="27"/>
    <w:bookmarkStart w:id="28" w:name="data-collection-and-analysis"/>
    <w:p>
      <w:pPr>
        <w:pStyle w:val="Heading2"/>
      </w:pPr>
      <w:r>
        <w:t xml:space="preserve">5. Data Collection and Analysis</w:t>
      </w:r>
    </w:p>
    <w:p>
      <w:pPr>
        <w:pStyle w:val="FirstParagraph"/>
      </w:pPr>
      <w:r>
        <w:t xml:space="preserve">All data collected during the experiment will be recorded in a standardized format and stored in a secure database. The data will be analyzed using statistical methods to identify trends and anomalies. The results will be compared with relevant German and European standards to determine the condition of the structure and any necessary remedial actions.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Parameter</w:t>
            </w:r>
          </w:p>
        </w:tc>
        <w:tc>
          <w:tcPr/>
          <w:p>
            <w:pPr>
              <w:pStyle w:val="Compact"/>
              <w:jc w:val="left"/>
            </w:pPr>
            <w:r>
              <w:t xml:space="preserve">Method</w:t>
            </w:r>
          </w:p>
        </w:tc>
        <w:tc>
          <w:tcPr/>
          <w:p>
            <w:pPr>
              <w:pStyle w:val="Compact"/>
              <w:jc w:val="left"/>
            </w:pPr>
            <w:r>
              <w:t xml:space="preserve">Standard</w:t>
            </w:r>
          </w:p>
        </w:tc>
        <w:tc>
          <w:tcPr/>
          <w:p>
            <w:pPr>
              <w:pStyle w:val="Compact"/>
              <w:jc w:val="left"/>
            </w:pPr>
            <w:r>
              <w:t xml:space="preserve">Acceptance Criteria</w:t>
            </w:r>
          </w:p>
        </w:tc>
      </w:tr>
      <w:tr>
        <w:tc>
          <w:tcPr/>
          <w:p>
            <w:pPr>
              <w:pStyle w:val="Compact"/>
              <w:jc w:val="left"/>
            </w:pPr>
            <w:r>
              <w:t xml:space="preserve">Ultrasonic Pulse Velocity</w:t>
            </w:r>
          </w:p>
        </w:tc>
        <w:tc>
          <w:tcPr/>
          <w:p>
            <w:pPr>
              <w:pStyle w:val="Compact"/>
              <w:jc w:val="left"/>
            </w:pPr>
            <w:r>
              <w:t xml:space="preserve">UPV Tester</w:t>
            </w:r>
          </w:p>
        </w:tc>
        <w:tc>
          <w:tcPr/>
          <w:p>
            <w:pPr>
              <w:pStyle w:val="Compact"/>
              <w:jc w:val="left"/>
            </w:pPr>
            <w:r>
              <w:t xml:space="preserve">DIN 1048-5</w:t>
            </w:r>
          </w:p>
        </w:tc>
        <w:tc>
          <w:tcPr/>
          <w:p>
            <w:pPr>
              <w:pStyle w:val="Compact"/>
              <w:jc w:val="left"/>
            </w:pPr>
            <w:r>
              <w:t xml:space="preserve">&gt; 4.0 km/s</w:t>
            </w:r>
          </w:p>
        </w:tc>
      </w:tr>
      <w:tr>
        <w:tc>
          <w:tcPr/>
          <w:p>
            <w:pPr>
              <w:pStyle w:val="Compact"/>
              <w:jc w:val="left"/>
            </w:pPr>
            <w:r>
              <w:t xml:space="preserve">Rebound Number</w:t>
            </w:r>
          </w:p>
        </w:tc>
        <w:tc>
          <w:tcPr/>
          <w:p>
            <w:pPr>
              <w:pStyle w:val="Compact"/>
              <w:jc w:val="left"/>
            </w:pPr>
            <w:r>
              <w:t xml:space="preserve">Schmidt Hammer</w:t>
            </w:r>
          </w:p>
        </w:tc>
        <w:tc>
          <w:tcPr/>
          <w:p>
            <w:pPr>
              <w:pStyle w:val="Compact"/>
              <w:jc w:val="left"/>
            </w:pPr>
            <w:r>
              <w:t xml:space="preserve">DIN 1048-5</w:t>
            </w:r>
          </w:p>
        </w:tc>
        <w:tc>
          <w:tcPr/>
          <w:p>
            <w:pPr>
              <w:pStyle w:val="Compact"/>
              <w:jc w:val="left"/>
            </w:pPr>
            <w:r>
              <w:t xml:space="preserve">&gt; 30</w:t>
            </w:r>
          </w:p>
        </w:tc>
      </w:tr>
      <w:tr>
        <w:tc>
          <w:tcPr/>
          <w:p>
            <w:pPr>
              <w:pStyle w:val="Compact"/>
              <w:jc w:val="left"/>
            </w:pPr>
            <w:r>
              <w:t xml:space="preserve">Half-Cell Potential</w:t>
            </w:r>
          </w:p>
        </w:tc>
        <w:tc>
          <w:tcPr/>
          <w:p>
            <w:pPr>
              <w:pStyle w:val="Compact"/>
              <w:jc w:val="left"/>
            </w:pPr>
            <w:r>
              <w:t xml:space="preserve">Potential Mapping</w:t>
            </w:r>
          </w:p>
        </w:tc>
        <w:tc>
          <w:tcPr/>
          <w:p>
            <w:pPr>
              <w:pStyle w:val="Compact"/>
              <w:jc w:val="left"/>
            </w:pPr>
            <w:r>
              <w:t xml:space="preserve">ASTM C876</w:t>
            </w:r>
          </w:p>
        </w:tc>
        <w:tc>
          <w:tcPr/>
          <w:p>
            <w:pPr>
              <w:pStyle w:val="Compact"/>
              <w:jc w:val="left"/>
            </w:pPr>
            <w:r>
              <w:t xml:space="preserve">&gt; -200 mV (low risk)</w:t>
            </w:r>
          </w:p>
        </w:tc>
      </w:tr>
      <w:tr>
        <w:tc>
          <w:tcPr/>
          <w:p>
            <w:pPr>
              <w:pStyle w:val="Compact"/>
              <w:jc w:val="left"/>
            </w:pPr>
            <w:r>
              <w:t xml:space="preserve">Compressive Strength</w:t>
            </w:r>
          </w:p>
        </w:tc>
        <w:tc>
          <w:tcPr/>
          <w:p>
            <w:pPr>
              <w:pStyle w:val="Compact"/>
              <w:jc w:val="left"/>
            </w:pPr>
            <w:r>
              <w:t xml:space="preserve">Core Testing</w:t>
            </w:r>
          </w:p>
        </w:tc>
        <w:tc>
          <w:tcPr/>
          <w:p>
            <w:pPr>
              <w:pStyle w:val="Compact"/>
              <w:jc w:val="left"/>
            </w:pPr>
            <w:r>
              <w:t xml:space="preserve">DIN EN 12504-1</w:t>
            </w:r>
          </w:p>
        </w:tc>
        <w:tc>
          <w:tcPr/>
          <w:p>
            <w:pPr>
              <w:pStyle w:val="Compact"/>
              <w:jc w:val="left"/>
            </w:pPr>
            <w:r>
              <w:t xml:space="preserve">&gt; 80% of design strength</w:t>
            </w:r>
          </w:p>
        </w:tc>
      </w:tr>
      <w:tr>
        <w:tc>
          <w:tcPr/>
          <w:p>
            <w:pPr>
              <w:pStyle w:val="Compact"/>
              <w:jc w:val="left"/>
            </w:pPr>
            <w:r>
              <w:t xml:space="preserve">Chloride Ion Content</w:t>
            </w:r>
          </w:p>
        </w:tc>
        <w:tc>
          <w:tcPr/>
          <w:p>
            <w:pPr>
              <w:pStyle w:val="Compact"/>
              <w:jc w:val="left"/>
            </w:pPr>
            <w:r>
              <w:t xml:space="preserve">Chemical Analysis</w:t>
            </w:r>
          </w:p>
        </w:tc>
        <w:tc>
          <w:tcPr/>
          <w:p>
            <w:pPr>
              <w:pStyle w:val="Compact"/>
              <w:jc w:val="left"/>
            </w:pPr>
            <w:r>
              <w:t xml:space="preserve">DIN 1048-2</w:t>
            </w:r>
          </w:p>
        </w:tc>
        <w:tc>
          <w:tcPr/>
          <w:p>
            <w:pPr>
              <w:pStyle w:val="Compact"/>
              <w:jc w:val="left"/>
            </w:pPr>
            <w:r>
              <w:t xml:space="preserve">&lt; 0.4% by weight of cement</w:t>
            </w:r>
          </w:p>
        </w:tc>
      </w:tr>
    </w:tbl>
    <w:bookmarkEnd w:id="28"/>
    <w:bookmarkStart w:id="29" w:name="safety-and-environmental-considerations"/>
    <w:p>
      <w:pPr>
        <w:pStyle w:val="Heading2"/>
      </w:pPr>
      <w:r>
        <w:t xml:space="preserve">6. Safety and Environmental Considerations</w:t>
      </w:r>
    </w:p>
    <w:p>
      <w:pPr>
        <w:pStyle w:val="FirstParagraph"/>
      </w:pPr>
      <w:r>
        <w:t xml:space="preserve">All personnel involved in the experiment must adhere to strict safety protocols to prevent accidents and ensure the well-being of workers and the public. Personal protective equipment (PPE) must be worn at all times, and safety barriers must be erected around the testing area. Additionally, measures must be taken to minimize the environmental impact of the testing activities, including the proper disposal of concrete cores and other waste materials in accordance with German environmental regulations.</w:t>
      </w:r>
    </w:p>
    <w:bookmarkEnd w:id="29"/>
    <w:bookmarkStart w:id="30" w:name="reporting-and-documentation"/>
    <w:p>
      <w:pPr>
        <w:pStyle w:val="Heading2"/>
      </w:pPr>
      <w:r>
        <w:t xml:space="preserve">7. Reporting and Documentation</w:t>
      </w:r>
    </w:p>
    <w:p>
      <w:pPr>
        <w:pStyle w:val="FirstParagraph"/>
      </w:pPr>
      <w:r>
        <w:t xml:space="preserve">A comprehensive report will be prepared following the completion of the experiment. The report will include a summary of the methodology, a detailed presentation of the results, and recommendations for any necessary maintenance or repair work. The report will be submitted to the relevant authorities in Berlin and stored in the project's documentation archive for future reference.</w:t>
      </w:r>
    </w:p>
    <w:bookmarkEnd w:id="30"/>
    <w:bookmarkStart w:id="31" w:name="conclusion"/>
    <w:p>
      <w:pPr>
        <w:pStyle w:val="Heading2"/>
      </w:pPr>
      <w:r>
        <w:t xml:space="preserve">8. Conclusion</w:t>
      </w:r>
    </w:p>
    <w:p>
      <w:pPr>
        <w:pStyle w:val="FirstParagraph"/>
      </w:pPr>
      <w:r>
        <w:t xml:space="preserve">This Experiment Protocol provides a structured approach for civil engineers to assess the structural integrity of reinforced concrete elements in Berlin, Germany. By following the procedures outlined herein, engineers can ensure that their assessments are thorough, accurate, and compliant with relevant standards. The data obtained from this experiment will contribute to the ongoing efforts to maintain and improve the safety and durability of Berlin's infrastructure.</w:t>
      </w:r>
    </w:p>
    <w:bookmarkEnd w:id="31"/>
    <w:p>
      <w:pPr>
        <w:pStyle w:val="BodyText"/>
      </w:pPr>
      <w:r>
        <w:rPr>
          <w:bCs/>
          <w:b/>
        </w:rPr>
        <w:t xml:space="preserve">Lead Civil Engineer:</w:t>
      </w:r>
    </w:p>
    <w:p>
      <w:pPr>
        <w:pStyle w:val="BodyText"/>
      </w:pPr>
      <w:r>
        <w:t xml:space="preserve">Name: _________________________</w:t>
      </w:r>
    </w:p>
    <w:p>
      <w:pPr>
        <w:pStyle w:val="BodyText"/>
      </w:pPr>
      <w:r>
        <w:t xml:space="preserve">Signature: ______________________</w:t>
      </w:r>
    </w:p>
    <w:p>
      <w:pPr>
        <w:pStyle w:val="BodyText"/>
      </w:pPr>
      <w:r>
        <w:t xml:space="preserve">Date: __________________________</w:t>
      </w:r>
    </w:p>
    <w:p>
      <w:pPr>
        <w:pStyle w:val="BodyText"/>
      </w:pPr>
      <w:r>
        <w:rPr>
          <w:bCs/>
          <w:b/>
        </w:rPr>
        <w:t xml:space="preserve">Project Manager:</w:t>
      </w:r>
    </w:p>
    <w:p>
      <w:pPr>
        <w:pStyle w:val="BodyText"/>
      </w:pPr>
      <w:r>
        <w:t xml:space="preserve">Name: _________________________</w:t>
      </w:r>
    </w:p>
    <w:p>
      <w:pPr>
        <w:pStyle w:val="BodyText"/>
      </w:pPr>
      <w:r>
        <w:t xml:space="preserve">Signature: ______________________</w:t>
      </w:r>
    </w:p>
    <w:p>
      <w:pPr>
        <w:pStyle w:val="BodyText"/>
      </w:pPr>
      <w:r>
        <w:t xml:space="preserve">Date: 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Civil Engineering Structural Integrity Assessment</dc:title>
  <dc:creator/>
  <dc:language>en</dc:language>
  <cp:keywords/>
  <dcterms:created xsi:type="dcterms:W3CDTF">2026-10-10T02:39:12Z</dcterms:created>
  <dcterms:modified xsi:type="dcterms:W3CDTF">2026-10-10T02:39:12Z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