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Assessment</w:t>
      </w:r>
      <w:r>
        <w:t xml:space="preserve"> </w:t>
      </w:r>
      <w:r>
        <w:t xml:space="preserve">in</w:t>
      </w:r>
      <w:r>
        <w:t xml:space="preserve"> </w:t>
      </w:r>
      <w:r>
        <w:t xml:space="preserve">Mumbai</w:t>
      </w:r>
    </w:p>
    <w:bookmarkStart w:id="20" w:name="Xafc2f80a5b59b7f75a23c455c6ba882ae971796"/>
    <w:p>
      <w:pPr>
        <w:pStyle w:val="Heading1"/>
      </w:pPr>
      <w:r>
        <w:t xml:space="preserve">Experiment Protocol: Non-Destructive Testing of Reinforced Concrete Structures</w:t>
      </w:r>
    </w:p>
    <w:p>
      <w:pPr>
        <w:pStyle w:val="FirstParagraph"/>
      </w:pPr>
      <w:r>
        <w:rPr>
          <w:bCs/>
          <w:b/>
        </w:rPr>
        <w:t xml:space="preserve">Location:</w:t>
      </w:r>
      <w:r>
        <w:t xml:space="preserve"> </w:t>
      </w:r>
      <w:r>
        <w:t xml:space="preserve">Mumbai, Maharashtra, India</w:t>
      </w:r>
      <w:r>
        <w:br/>
      </w:r>
      <w:r>
        <w:rPr>
          <w:bCs/>
          <w:b/>
        </w:rPr>
        <w:t xml:space="preserve">Role:</w:t>
      </w:r>
      <w:r>
        <w:t xml:space="preserve"> </w:t>
      </w:r>
      <w:r>
        <w:t xml:space="preserve">Senior Civil Engineer</w:t>
      </w:r>
      <w:r>
        <w:br/>
      </w:r>
      <w:r>
        <w:rPr>
          <w:bCs/>
          <w:b/>
        </w:rPr>
        <w:t xml:space="preserve">Document ID:</w:t>
      </w:r>
      <w:r>
        <w:t xml:space="preserve"> </w:t>
      </w:r>
      <w:r>
        <w:t xml:space="preserve">MUM-CE-EXP-2023-04</w:t>
      </w:r>
      <w:r>
        <w:br/>
      </w:r>
      <w:r>
        <w:rPr>
          <w:bCs/>
          <w:b/>
        </w:rPr>
        <w:t xml:space="preserve">Date:</w:t>
      </w:r>
      <w:r>
        <w:t xml:space="preserve"> </w:t>
      </w:r>
      <w:r>
        <w:t xml:space="preserve">October 24, 2023</w:t>
      </w:r>
    </w:p>
    <w:bookmarkEnd w:id="20"/>
    <w:bookmarkStart w:id="21" w:name="objective-and-scope"/>
    <w:p>
      <w:pPr>
        <w:pStyle w:val="Heading2"/>
      </w:pPr>
      <w:r>
        <w:t xml:space="preserve">1. Objective and Scope</w:t>
      </w:r>
    </w:p>
    <w:p>
      <w:pPr>
        <w:pStyle w:val="FirstParagraph"/>
      </w:pPr>
      <w:r>
        <w:t xml:space="preserve">This Experiment Protocol outlines the standardized procedures for conducting non-destructive testing (NDT) on existing reinforced concrete (RC) structures within the metropolitan area of</w:t>
      </w:r>
      <w:r>
        <w:t xml:space="preserve"> </w:t>
      </w:r>
      <w:r>
        <w:rPr>
          <w:bCs/>
          <w:b/>
        </w:rPr>
        <w:t xml:space="preserve">Mumbai, India</w:t>
      </w:r>
      <w:r>
        <w:t xml:space="preserve">. The primary objective is to assess the structural integrity, durability, and safety of aging infrastructure, specifically focusing on high-rise residential buildings and commercial complexes in coastal zones.</w:t>
      </w:r>
    </w:p>
    <w:p>
      <w:pPr>
        <w:pStyle w:val="BodyText"/>
      </w:pPr>
      <w:r>
        <w:t xml:space="preserve">As a</w:t>
      </w:r>
      <w:r>
        <w:t xml:space="preserve"> </w:t>
      </w:r>
      <w:r>
        <w:rPr>
          <w:bCs/>
          <w:b/>
        </w:rPr>
        <w:t xml:space="preserve">Civil Engineer</w:t>
      </w:r>
      <w:r>
        <w:t xml:space="preserve"> </w:t>
      </w:r>
      <w:r>
        <w:t xml:space="preserve">operating in this region, it is imperative to address the unique environmental challenges posed by Mumbai's tropical monsoon climate, high humidity, and saline atmosphere. This protocol ensures that all testing methodologies align with the Bureau of Indian Standards (BIS), specifically IS 13311 (Part 1 &amp; 2) and IS 456:2000, while adapting to the specific geotechnical and atmospheric conditions of the Mumbai Metropolitan Region (MMR).</w:t>
      </w:r>
    </w:p>
    <w:bookmarkEnd w:id="21"/>
    <w:bookmarkStart w:id="22" w:name="X48a62824eb3db51a4670a046a8aa98c851cb9ef"/>
    <w:p>
      <w:pPr>
        <w:pStyle w:val="Heading2"/>
      </w:pPr>
      <w:r>
        <w:t xml:space="preserve">2. Environmental Context and Risk Assessment</w:t>
      </w:r>
    </w:p>
    <w:p>
      <w:pPr>
        <w:pStyle w:val="FirstParagraph"/>
      </w:pPr>
      <w:r>
        <w:t xml:space="preserve">The experimental site is located in</w:t>
      </w:r>
      <w:r>
        <w:t xml:space="preserve"> </w:t>
      </w:r>
      <w:r>
        <w:rPr>
          <w:bCs/>
          <w:b/>
        </w:rPr>
        <w:t xml:space="preserve">Mumbai</w:t>
      </w:r>
      <w:r>
        <w:t xml:space="preserve">, a city characterized by its dense urban fabric and proximity to the Arabian Sea. The</w:t>
      </w:r>
      <w:r>
        <w:t xml:space="preserve"> </w:t>
      </w:r>
      <w:r>
        <w:rPr>
          <w:bCs/>
          <w:b/>
        </w:rPr>
        <w:t xml:space="preserve">Civil Engineer</w:t>
      </w:r>
      <w:r>
        <w:t xml:space="preserve"> </w:t>
      </w:r>
      <w:r>
        <w:t xml:space="preserve">must account for the following environmental factors during the experiment:</w:t>
      </w:r>
    </w:p>
    <w:p>
      <w:pPr>
        <w:numPr>
          <w:ilvl w:val="0"/>
          <w:numId w:val="1001"/>
        </w:numPr>
        <w:pStyle w:val="Compact"/>
      </w:pPr>
      <w:r>
        <w:rPr>
          <w:bCs/>
          <w:b/>
        </w:rPr>
        <w:t xml:space="preserve">Chloride Attack:</w:t>
      </w:r>
      <w:r>
        <w:t xml:space="preserve"> </w:t>
      </w:r>
      <w:r>
        <w:t xml:space="preserve">Due to the saline environment, reinforcement corrosion is a primary concern. The protocol prioritizes testing for chloride ingress in concrete cover.</w:t>
      </w:r>
    </w:p>
    <w:p>
      <w:pPr>
        <w:numPr>
          <w:ilvl w:val="0"/>
          <w:numId w:val="1001"/>
        </w:numPr>
        <w:pStyle w:val="Compact"/>
      </w:pPr>
      <w:r>
        <w:rPr>
          <w:bCs/>
          <w:b/>
        </w:rPr>
        <w:t xml:space="preserve">Monsoon Impact:</w:t>
      </w:r>
      <w:r>
        <w:t xml:space="preserve"> </w:t>
      </w:r>
      <w:r>
        <w:t xml:space="preserve">Testing schedules must account for the heavy rainfall between June and September, which can affect surface moisture readings and equipment safety.</w:t>
      </w:r>
    </w:p>
    <w:p>
      <w:pPr>
        <w:numPr>
          <w:ilvl w:val="0"/>
          <w:numId w:val="1001"/>
        </w:numPr>
        <w:pStyle w:val="Compact"/>
      </w:pPr>
      <w:r>
        <w:rPr>
          <w:bCs/>
          <w:b/>
        </w:rPr>
        <w:t xml:space="preserve">Soil Conditions:</w:t>
      </w:r>
      <w:r>
        <w:t xml:space="preserve"> </w:t>
      </w:r>
      <w:r>
        <w:t xml:space="preserve">Many structures in Mumbai are built on reclaimed land or soft alluvial soil. Foundation settlement analysis is a critical component of this experiment.</w:t>
      </w:r>
    </w:p>
    <w:p>
      <w:pPr>
        <w:numPr>
          <w:ilvl w:val="0"/>
          <w:numId w:val="1001"/>
        </w:numPr>
        <w:pStyle w:val="Compact"/>
      </w:pPr>
      <w:r>
        <w:rPr>
          <w:bCs/>
          <w:b/>
        </w:rPr>
        <w:t xml:space="preserve">Urban Density:</w:t>
      </w:r>
      <w:r>
        <w:t xml:space="preserve"> </w:t>
      </w:r>
      <w:r>
        <w:t xml:space="preserve">Noise and vibration restrictions apply due to the proximity of residential and commercial units. Equipment selection must minimize disruption.</w:t>
      </w:r>
    </w:p>
    <w:bookmarkEnd w:id="22"/>
    <w:bookmarkStart w:id="23" w:name="equipment-and-materials"/>
    <w:p>
      <w:pPr>
        <w:pStyle w:val="Heading2"/>
      </w:pPr>
      <w:r>
        <w:t xml:space="preserve">3. Equipment and Materials</w:t>
      </w:r>
    </w:p>
    <w:p>
      <w:pPr>
        <w:pStyle w:val="FirstParagraph"/>
      </w:pPr>
      <w:r>
        <w:t xml:space="preserve">The following calibrated instruments are required for this experiment. All equipment must be certified by an NABL-accredited laboratory in</w:t>
      </w:r>
      <w:r>
        <w:t xml:space="preserve"> </w:t>
      </w:r>
      <w:r>
        <w:rPr>
          <w:bCs/>
          <w:b/>
        </w:rPr>
        <w:t xml:space="preserve">India</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Schmidt Rebound Hammer</w:t>
            </w:r>
          </w:p>
        </w:tc>
        <w:tc>
          <w:tcPr/>
          <w:p>
            <w:pPr>
              <w:pStyle w:val="Compact"/>
              <w:jc w:val="left"/>
            </w:pPr>
            <w:r>
              <w:t xml:space="preserve">Type N, IS 13311 Part 2 compliant</w:t>
            </w:r>
          </w:p>
        </w:tc>
        <w:tc>
          <w:tcPr/>
          <w:p>
            <w:pPr>
              <w:pStyle w:val="Compact"/>
              <w:jc w:val="left"/>
            </w:pPr>
            <w:r>
              <w:t xml:space="preserve">Estimate surface hardness and compressive strength.</w:t>
            </w:r>
          </w:p>
        </w:tc>
      </w:tr>
      <w:tr>
        <w:tc>
          <w:tcPr/>
          <w:p>
            <w:pPr>
              <w:pStyle w:val="Compact"/>
              <w:jc w:val="left"/>
            </w:pPr>
            <w:r>
              <w:t xml:space="preserve">Ultrasonic Pulse Velocity (UPV) Tester</w:t>
            </w:r>
          </w:p>
        </w:tc>
        <w:tc>
          <w:tcPr/>
          <w:p>
            <w:pPr>
              <w:pStyle w:val="Compact"/>
              <w:jc w:val="left"/>
            </w:pPr>
            <w:r>
              <w:t xml:space="preserve">Frequency 50 kHz, IS 13311 Part 1 compliant</w:t>
            </w:r>
          </w:p>
        </w:tc>
        <w:tc>
          <w:tcPr/>
          <w:p>
            <w:pPr>
              <w:pStyle w:val="Compact"/>
              <w:jc w:val="left"/>
            </w:pPr>
            <w:r>
              <w:t xml:space="preserve">Assess concrete homogeneity and detect internal cracks.</w:t>
            </w:r>
          </w:p>
        </w:tc>
      </w:tr>
      <w:tr>
        <w:tc>
          <w:tcPr/>
          <w:p>
            <w:pPr>
              <w:pStyle w:val="Compact"/>
              <w:jc w:val="left"/>
            </w:pPr>
            <w:r>
              <w:t xml:space="preserve">Half-Cell Potential Meter</w:t>
            </w:r>
          </w:p>
        </w:tc>
        <w:tc>
          <w:tcPr/>
          <w:p>
            <w:pPr>
              <w:pStyle w:val="Compact"/>
              <w:jc w:val="left"/>
            </w:pPr>
            <w:r>
              <w:t xml:space="preserve">Cu/CuSO4 reference electrode</w:t>
            </w:r>
          </w:p>
        </w:tc>
        <w:tc>
          <w:tcPr/>
          <w:p>
            <w:pPr>
              <w:pStyle w:val="Compact"/>
              <w:jc w:val="left"/>
            </w:pPr>
            <w:r>
              <w:t xml:space="preserve">Detect probability of reinforcement corrosion.</w:t>
            </w:r>
          </w:p>
        </w:tc>
      </w:tr>
      <w:tr>
        <w:tc>
          <w:tcPr/>
          <w:p>
            <w:pPr>
              <w:pStyle w:val="Compact"/>
              <w:jc w:val="left"/>
            </w:pPr>
            <w:r>
              <w:t xml:space="preserve">Chloride Ion Tester</w:t>
            </w:r>
          </w:p>
        </w:tc>
        <w:tc>
          <w:tcPr/>
          <w:p>
            <w:pPr>
              <w:pStyle w:val="Compact"/>
              <w:jc w:val="left"/>
            </w:pPr>
            <w:r>
              <w:t xml:space="preserve">Titration method compliant with IS 456</w:t>
            </w:r>
          </w:p>
        </w:tc>
        <w:tc>
          <w:tcPr/>
          <w:p>
            <w:pPr>
              <w:pStyle w:val="Compact"/>
              <w:jc w:val="left"/>
            </w:pPr>
            <w:r>
              <w:t xml:space="preserve">Measure chloride content in concrete samples.</w:t>
            </w:r>
          </w:p>
        </w:tc>
      </w:tr>
      <w:tr>
        <w:tc>
          <w:tcPr/>
          <w:p>
            <w:pPr>
              <w:pStyle w:val="Compact"/>
              <w:jc w:val="left"/>
            </w:pPr>
            <w:r>
              <w:t xml:space="preserve">Cover Meter</w:t>
            </w:r>
          </w:p>
        </w:tc>
        <w:tc>
          <w:tcPr/>
          <w:p>
            <w:pPr>
              <w:pStyle w:val="Compact"/>
              <w:jc w:val="left"/>
            </w:pPr>
            <w:r>
              <w:t xml:space="preserve">Electromagnetic induction type</w:t>
            </w:r>
          </w:p>
        </w:tc>
        <w:tc>
          <w:tcPr/>
          <w:p>
            <w:pPr>
              <w:pStyle w:val="Compact"/>
              <w:jc w:val="left"/>
            </w:pPr>
            <w:r>
              <w:t xml:space="preserve">Determine depth of concrete cover over reinforcement.</w:t>
            </w:r>
          </w:p>
        </w:tc>
      </w:tr>
    </w:tbl>
    <w:bookmarkEnd w:id="23"/>
    <w:bookmarkStart w:id="28" w:name="experimental-procedure"/>
    <w:p>
      <w:pPr>
        <w:pStyle w:val="Heading2"/>
      </w:pPr>
      <w:r>
        <w:t xml:space="preserve">4. Experimental Procedure</w:t>
      </w:r>
    </w:p>
    <w:p>
      <w:pPr>
        <w:pStyle w:val="FirstParagraph"/>
      </w:pPr>
      <w:r>
        <w:t xml:space="preserve">The</w:t>
      </w:r>
      <w:r>
        <w:t xml:space="preserve"> </w:t>
      </w:r>
      <w:r>
        <w:rPr>
          <w:bCs/>
          <w:b/>
        </w:rPr>
        <w:t xml:space="preserve">Civil Engineer</w:t>
      </w:r>
      <w:r>
        <w:t xml:space="preserve"> </w:t>
      </w:r>
      <w:r>
        <w:t xml:space="preserve">shall execute the following steps strictly. Deviations must be documented and justified.</w:t>
      </w:r>
    </w:p>
    <w:bookmarkStart w:id="24" w:name="site-preparation"/>
    <w:p>
      <w:pPr>
        <w:pStyle w:val="Heading3"/>
      </w:pPr>
      <w:r>
        <w:t xml:space="preserve">4.1 Site Preparation</w:t>
      </w:r>
    </w:p>
    <w:p>
      <w:pPr>
        <w:numPr>
          <w:ilvl w:val="0"/>
          <w:numId w:val="1002"/>
        </w:numPr>
        <w:pStyle w:val="Compact"/>
      </w:pPr>
      <w:r>
        <w:t xml:space="preserve">Obtain necessary permissions from the Mumbai Municipal Corporation (BMC) and the building management.</w:t>
      </w:r>
    </w:p>
    <w:p>
      <w:pPr>
        <w:numPr>
          <w:ilvl w:val="0"/>
          <w:numId w:val="1002"/>
        </w:numPr>
        <w:pStyle w:val="Compact"/>
      </w:pPr>
      <w:r>
        <w:t xml:space="preserve">Identify test locations on structural members (columns, beams, slabs) ensuring they are representative of the entire structure.</w:t>
      </w:r>
    </w:p>
    <w:p>
      <w:pPr>
        <w:numPr>
          <w:ilvl w:val="0"/>
          <w:numId w:val="1002"/>
        </w:numPr>
        <w:pStyle w:val="Compact"/>
      </w:pPr>
      <w:r>
        <w:t xml:space="preserve">Clean the concrete surface thoroughly to remove dust, paint, or loose material. Ensure the surface is dry for rebound hammer tests.</w:t>
      </w:r>
    </w:p>
    <w:bookmarkEnd w:id="24"/>
    <w:bookmarkStart w:id="25" w:name="rebound-hammer-test"/>
    <w:p>
      <w:pPr>
        <w:pStyle w:val="Heading3"/>
      </w:pPr>
      <w:r>
        <w:t xml:space="preserve">4.2 Rebound Hammer Test</w:t>
      </w:r>
    </w:p>
    <w:p>
      <w:pPr>
        <w:numPr>
          <w:ilvl w:val="0"/>
          <w:numId w:val="1003"/>
        </w:numPr>
        <w:pStyle w:val="Compact"/>
      </w:pPr>
      <w:r>
        <w:t xml:space="preserve">Position the hammer perpendicular to the test surface.</w:t>
      </w:r>
    </w:p>
    <w:p>
      <w:pPr>
        <w:numPr>
          <w:ilvl w:val="0"/>
          <w:numId w:val="1003"/>
        </w:numPr>
        <w:pStyle w:val="Compact"/>
      </w:pPr>
      <w:r>
        <w:t xml:space="preserve">Take a minimum of 10 readings per test location, spaced at least 50mm apart.</w:t>
      </w:r>
    </w:p>
    <w:p>
      <w:pPr>
        <w:numPr>
          <w:ilvl w:val="0"/>
          <w:numId w:val="1003"/>
        </w:numPr>
        <w:pStyle w:val="Compact"/>
      </w:pPr>
      <w:r>
        <w:t xml:space="preserve">Record the rebound numbers. Calculate the average value, excluding the highest and lowest readings if they deviate significantly.</w:t>
      </w:r>
    </w:p>
    <w:p>
      <w:pPr>
        <w:numPr>
          <w:ilvl w:val="0"/>
          <w:numId w:val="1003"/>
        </w:numPr>
        <w:pStyle w:val="Compact"/>
      </w:pPr>
      <w:r>
        <w:t xml:space="preserve">Correlate the average rebound number to compressive strength using the calibration curve specific to the concrete mix used in</w:t>
      </w:r>
      <w:r>
        <w:t xml:space="preserve"> </w:t>
      </w:r>
      <w:r>
        <w:rPr>
          <w:bCs/>
          <w:b/>
        </w:rPr>
        <w:t xml:space="preserve">Mumbai</w:t>
      </w:r>
      <w:r>
        <w:t xml:space="preserve"> </w:t>
      </w:r>
      <w:r>
        <w:t xml:space="preserve">construction.</w:t>
      </w:r>
    </w:p>
    <w:bookmarkEnd w:id="25"/>
    <w:bookmarkStart w:id="26" w:name="ultrasonic-pulse-velocity-upv-test"/>
    <w:p>
      <w:pPr>
        <w:pStyle w:val="Heading3"/>
      </w:pPr>
      <w:r>
        <w:t xml:space="preserve">4.3 Ultrasonic Pulse Velocity (UPV) Test</w:t>
      </w:r>
    </w:p>
    <w:p>
      <w:pPr>
        <w:numPr>
          <w:ilvl w:val="0"/>
          <w:numId w:val="1004"/>
        </w:numPr>
        <w:pStyle w:val="Compact"/>
      </w:pPr>
      <w:r>
        <w:t xml:space="preserve">Apply coupling gel to the transducer faces to ensure proper signal transmission.</w:t>
      </w:r>
    </w:p>
    <w:p>
      <w:pPr>
        <w:numPr>
          <w:ilvl w:val="0"/>
          <w:numId w:val="1004"/>
        </w:numPr>
        <w:pStyle w:val="Compact"/>
      </w:pPr>
      <w:r>
        <w:t xml:space="preserve">Place transducers on opposite faces of the structural member (direct transmission).</w:t>
      </w:r>
    </w:p>
    <w:p>
      <w:pPr>
        <w:numPr>
          <w:ilvl w:val="0"/>
          <w:numId w:val="1004"/>
        </w:numPr>
        <w:pStyle w:val="Compact"/>
      </w:pPr>
      <w:r>
        <w:t xml:space="preserve">Measure the time taken for the ultrasonic pulse to travel through the concrete.</w:t>
      </w:r>
    </w:p>
    <w:p>
      <w:pPr>
        <w:numPr>
          <w:ilvl w:val="0"/>
          <w:numId w:val="1004"/>
        </w:numPr>
        <w:pStyle w:val="Compact"/>
      </w:pPr>
      <w:r>
        <w:t xml:space="preserve">Calculate the pulse velocity (m/s). Classify the concrete quality as "Excellent," "Good," "Doubtful," or "Bad" based on IS 13311 Part 1 guidelines.</w:t>
      </w:r>
    </w:p>
    <w:bookmarkEnd w:id="26"/>
    <w:bookmarkStart w:id="27" w:name="X5f1f4a20ff74f6490f4a6717a9d60a150a205f1"/>
    <w:p>
      <w:pPr>
        <w:pStyle w:val="Heading3"/>
      </w:pPr>
      <w:r>
        <w:t xml:space="preserve">4.4 Corrosion Potential and Chloride Analysis</w:t>
      </w:r>
    </w:p>
    <w:p>
      <w:pPr>
        <w:numPr>
          <w:ilvl w:val="0"/>
          <w:numId w:val="1005"/>
        </w:numPr>
        <w:pStyle w:val="Compact"/>
      </w:pPr>
      <w:r>
        <w:t xml:space="preserve">Connect the half-cell reference electrode to the concrete surface using a wet sponge.</w:t>
      </w:r>
    </w:p>
    <w:p>
      <w:pPr>
        <w:numPr>
          <w:ilvl w:val="0"/>
          <w:numId w:val="1005"/>
        </w:numPr>
        <w:pStyle w:val="Compact"/>
      </w:pPr>
      <w:r>
        <w:t xml:space="preserve">Measure the potential difference between the reinforcement and the reference electrode at grid points (e.g., 200mm x 200mm).</w:t>
      </w:r>
    </w:p>
    <w:p>
      <w:pPr>
        <w:numPr>
          <w:ilvl w:val="0"/>
          <w:numId w:val="1005"/>
        </w:numPr>
        <w:pStyle w:val="Compact"/>
      </w:pPr>
      <w:r>
        <w:t xml:space="preserve">Map the potential readings to identify areas with a high probability of active corrosion.</w:t>
      </w:r>
    </w:p>
    <w:p>
      <w:pPr>
        <w:numPr>
          <w:ilvl w:val="0"/>
          <w:numId w:val="1005"/>
        </w:numPr>
        <w:pStyle w:val="Compact"/>
      </w:pPr>
      <w:r>
        <w:t xml:space="preserve">Extract small concrete cores from identified high-risk areas for chloride ion content analysis in the laboratory.</w:t>
      </w:r>
    </w:p>
    <w:bookmarkEnd w:id="27"/>
    <w:bookmarkEnd w:id="28"/>
    <w:bookmarkStart w:id="29" w:name="data-analysis-and-reporting"/>
    <w:p>
      <w:pPr>
        <w:pStyle w:val="Heading2"/>
      </w:pPr>
      <w:r>
        <w:t xml:space="preserve">5. Data Analysis and Reporting</w:t>
      </w:r>
    </w:p>
    <w:p>
      <w:pPr>
        <w:pStyle w:val="FirstParagraph"/>
      </w:pPr>
      <w:r>
        <w:t xml:space="preserve">The</w:t>
      </w:r>
      <w:r>
        <w:t xml:space="preserve"> </w:t>
      </w:r>
      <w:r>
        <w:rPr>
          <w:bCs/>
          <w:b/>
        </w:rPr>
        <w:t xml:space="preserve">Civil Engineer</w:t>
      </w:r>
      <w:r>
        <w:t xml:space="preserve"> </w:t>
      </w:r>
      <w:r>
        <w:t xml:space="preserve">must compile all data into a comprehensive report. The report should include:</w:t>
      </w:r>
    </w:p>
    <w:p>
      <w:pPr>
        <w:numPr>
          <w:ilvl w:val="0"/>
          <w:numId w:val="1006"/>
        </w:numPr>
        <w:pStyle w:val="Compact"/>
      </w:pPr>
      <w:r>
        <w:rPr>
          <w:bCs/>
          <w:b/>
        </w:rPr>
        <w:t xml:space="preserve">Statistical Analysis:</w:t>
      </w:r>
      <w:r>
        <w:t xml:space="preserve"> </w:t>
      </w:r>
      <w:r>
        <w:t xml:space="preserve">Mean, standard deviation, and coefficient of variation for all test parameters.</w:t>
      </w:r>
    </w:p>
    <w:p>
      <w:pPr>
        <w:numPr>
          <w:ilvl w:val="0"/>
          <w:numId w:val="1006"/>
        </w:numPr>
        <w:pStyle w:val="Compact"/>
      </w:pPr>
      <w:r>
        <w:rPr>
          <w:bCs/>
          <w:b/>
        </w:rPr>
        <w:t xml:space="preserve">Comparative Assessment:</w:t>
      </w:r>
      <w:r>
        <w:t xml:space="preserve"> </w:t>
      </w:r>
      <w:r>
        <w:t xml:space="preserve">Compare results against the original design specifications and current BIS codes.</w:t>
      </w:r>
    </w:p>
    <w:p>
      <w:pPr>
        <w:numPr>
          <w:ilvl w:val="0"/>
          <w:numId w:val="1006"/>
        </w:numPr>
        <w:pStyle w:val="Compact"/>
      </w:pPr>
      <w:r>
        <w:rPr>
          <w:bCs/>
          <w:b/>
        </w:rPr>
        <w:t xml:space="preserve">Defect Mapping:</w:t>
      </w:r>
      <w:r>
        <w:t xml:space="preserve"> </w:t>
      </w:r>
      <w:r>
        <w:t xml:space="preserve">Provide detailed drawings highlighting areas of low strength, cracks, or corrosion risk.</w:t>
      </w:r>
    </w:p>
    <w:p>
      <w:pPr>
        <w:numPr>
          <w:ilvl w:val="0"/>
          <w:numId w:val="1006"/>
        </w:numPr>
        <w:pStyle w:val="Compact"/>
      </w:pPr>
      <w:r>
        <w:rPr>
          <w:bCs/>
          <w:b/>
        </w:rPr>
        <w:t xml:space="preserve">Recommendations:</w:t>
      </w:r>
      <w:r>
        <w:t xml:space="preserve"> </w:t>
      </w:r>
      <w:r>
        <w:t xml:space="preserve">Propose remedial measures such as epoxy injection, cathodic protection, or structural strengthening if required.</w:t>
      </w:r>
    </w:p>
    <w:bookmarkEnd w:id="29"/>
    <w:bookmarkStart w:id="30" w:name="safety-and-compliance"/>
    <w:p>
      <w:pPr>
        <w:pStyle w:val="Heading2"/>
      </w:pPr>
      <w:r>
        <w:t xml:space="preserve">6. Safety and Compliance</w:t>
      </w:r>
    </w:p>
    <w:p>
      <w:pPr>
        <w:pStyle w:val="FirstParagraph"/>
      </w:pPr>
      <w:r>
        <w:t xml:space="preserve">Safety is paramount. All personnel must adhere to the Occupational Safety, Health and Working Conditions Code, 2020.</w:t>
      </w:r>
    </w:p>
    <w:p>
      <w:pPr>
        <w:numPr>
          <w:ilvl w:val="0"/>
          <w:numId w:val="1007"/>
        </w:numPr>
        <w:pStyle w:val="Compact"/>
      </w:pPr>
      <w:r>
        <w:t xml:space="preserve">Wear appropriate Personal Protective Equipment (PPE): helmets, safety shoes, gloves, and high-visibility vests.</w:t>
      </w:r>
    </w:p>
    <w:p>
      <w:pPr>
        <w:numPr>
          <w:ilvl w:val="0"/>
          <w:numId w:val="1007"/>
        </w:numPr>
        <w:pStyle w:val="Compact"/>
      </w:pPr>
      <w:r>
        <w:t xml:space="preserve">Ensure electrical safety when using testing equipment, especially in humid conditions common in</w:t>
      </w:r>
      <w:r>
        <w:t xml:space="preserve"> </w:t>
      </w:r>
      <w:r>
        <w:rPr>
          <w:bCs/>
          <w:b/>
        </w:rPr>
        <w:t xml:space="preserve">Mumbai</w:t>
      </w:r>
      <w:r>
        <w:t xml:space="preserve">.</w:t>
      </w:r>
    </w:p>
    <w:p>
      <w:pPr>
        <w:numPr>
          <w:ilvl w:val="0"/>
          <w:numId w:val="1007"/>
        </w:numPr>
        <w:pStyle w:val="Compact"/>
      </w:pPr>
      <w:r>
        <w:t xml:space="preserve">Secure the testing area to prevent unauthorized access by the public.</w:t>
      </w:r>
    </w:p>
    <w:p>
      <w:pPr>
        <w:numPr>
          <w:ilvl w:val="0"/>
          <w:numId w:val="1007"/>
        </w:numPr>
        <w:pStyle w:val="Compact"/>
      </w:pPr>
      <w:r>
        <w:t xml:space="preserve">Dispose of any chemical waste (e.g., from chloride testing) according to Maharashtra Pollution Control Board guidelines.</w:t>
      </w:r>
    </w:p>
    <w:bookmarkEnd w:id="30"/>
    <w:bookmarkStart w:id="31" w:name="conclusion"/>
    <w:p>
      <w:pPr>
        <w:pStyle w:val="Heading2"/>
      </w:pPr>
      <w:r>
        <w:t xml:space="preserve">7. Conclusion</w:t>
      </w:r>
    </w:p>
    <w:p>
      <w:pPr>
        <w:pStyle w:val="FirstParagraph"/>
      </w:pPr>
      <w:r>
        <w:t xml:space="preserve">This Experiment Protocol provides a robust framework for the</w:t>
      </w:r>
      <w:r>
        <w:t xml:space="preserve"> </w:t>
      </w:r>
      <w:r>
        <w:rPr>
          <w:bCs/>
          <w:b/>
        </w:rPr>
        <w:t xml:space="preserve">Civil Engineer</w:t>
      </w:r>
      <w:r>
        <w:t xml:space="preserve"> </w:t>
      </w:r>
      <w:r>
        <w:t xml:space="preserve">to evaluate the structural health of buildings in</w:t>
      </w:r>
      <w:r>
        <w:t xml:space="preserve"> </w:t>
      </w:r>
      <w:r>
        <w:rPr>
          <w:bCs/>
          <w:b/>
        </w:rPr>
        <w:t xml:space="preserve">Mumbai, India</w:t>
      </w:r>
      <w:r>
        <w:t xml:space="preserve">. By strictly following these procedures, we ensure the safety of occupants and the longevity of the city's infrastructure against the harsh environmental conditions. Regular monitoring and adherence to this protocol are essential for sustainable urban development in the region.</w:t>
      </w:r>
    </w:p>
    <w:bookmarkEnd w:id="31"/>
    <w:p>
      <w:pPr>
        <w:pStyle w:val="BodyText"/>
      </w:pPr>
      <w:r>
        <w:t xml:space="preserve">© 2023 Civil Engineering Department. All rights reserved. Document prepared for internal use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Assessment in Mumbai</dc:title>
  <dc:creator/>
  <dc:language>en</dc:language>
  <cp:keywords/>
  <dcterms:created xsi:type="dcterms:W3CDTF">2026-10-10T02:10:06Z</dcterms:created>
  <dcterms:modified xsi:type="dcterms:W3CDTF">2026-10-10T02:10:06Z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