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Seismic</w:t>
      </w:r>
      <w:r>
        <w:t xml:space="preserve"> </w:t>
      </w:r>
      <w:r>
        <w:t xml:space="preserve">Resilience</w:t>
      </w:r>
      <w:r>
        <w:t xml:space="preserve"> </w:t>
      </w:r>
      <w:r>
        <w:t xml:space="preserve">of</w:t>
      </w:r>
      <w:r>
        <w:t xml:space="preserve"> </w:t>
      </w:r>
      <w:r>
        <w:t xml:space="preserve">Reinforced</w:t>
      </w:r>
      <w:r>
        <w:t xml:space="preserve"> </w:t>
      </w:r>
      <w:r>
        <w:t xml:space="preserve">Concrete</w:t>
      </w:r>
      <w:r>
        <w:t xml:space="preserve"> </w:t>
      </w:r>
      <w:r>
        <w:t xml:space="preserve">Structures</w:t>
      </w:r>
      <w:r>
        <w:t xml:space="preserve"> </w:t>
      </w:r>
      <w:r>
        <w:t xml:space="preserve">in</w:t>
      </w:r>
      <w:r>
        <w:t xml:space="preserve"> </w:t>
      </w:r>
      <w:r>
        <w:t xml:space="preserve">Almaty</w:t>
      </w:r>
    </w:p>
    <w:bookmarkStart w:id="35" w:name="X3e8895bc547339de3c0d32ae9d5f580f8bc63c9"/>
    <w:p>
      <w:pPr>
        <w:pStyle w:val="Heading1"/>
      </w:pPr>
      <w:r>
        <w:t xml:space="preserve">Experiment Protocol: Seismic Resilience of Reinforced Concrete Structures in Almaty</w:t>
      </w:r>
    </w:p>
    <w:p>
      <w:pPr>
        <w:pStyle w:val="FirstParagraph"/>
      </w:pPr>
      <w:r>
        <w:rPr>
          <w:bCs/>
          <w:b/>
        </w:rPr>
        <w:t xml:space="preserve">Protocol ID:</w:t>
      </w:r>
      <w:r>
        <w:t xml:space="preserve"> </w:t>
      </w:r>
      <w:r>
        <w:t xml:space="preserve">ALMTY-CE-2023-001</w:t>
      </w:r>
    </w:p>
    <w:p>
      <w:pPr>
        <w:pStyle w:val="BodyText"/>
      </w:pPr>
      <w:r>
        <w:rPr>
          <w:bCs/>
          <w:b/>
        </w:rPr>
        <w:t xml:space="preserve">Location:</w:t>
      </w:r>
      <w:r>
        <w:t xml:space="preserve"> </w:t>
      </w:r>
      <w:r>
        <w:t xml:space="preserve">Almaty, Kazakhstan</w:t>
      </w:r>
    </w:p>
    <w:p>
      <w:pPr>
        <w:pStyle w:val="BodyText"/>
      </w:pPr>
      <w:r>
        <w:rPr>
          <w:bCs/>
          <w:b/>
        </w:rPr>
        <w:t xml:space="preserve">Discipline:</w:t>
      </w:r>
      <w:r>
        <w:t xml:space="preserve"> </w:t>
      </w:r>
      <w:r>
        <w:t xml:space="preserve">Civil Engineering</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Lead Civil Engineer, Almaty Structural Research Institute</w:t>
      </w:r>
    </w:p>
    <w:bookmarkStart w:id="20" w:name="introduction-and-objectives"/>
    <w:p>
      <w:pPr>
        <w:pStyle w:val="Heading2"/>
      </w:pPr>
      <w:r>
        <w:t xml:space="preserve">1. Introduction and Objectives</w:t>
      </w:r>
    </w:p>
    <w:p>
      <w:pPr>
        <w:pStyle w:val="FirstParagraph"/>
      </w:pPr>
      <w:r>
        <w:t xml:space="preserve">This Experiment Protocol outlines the procedures for testing the seismic resilience of reinforced concrete structures designed for the specific geological and climatic conditions of Almaty, Kazakhstan. Almaty is situated in a highly seismic zone, making it imperative for civil engineers to develop and validate construction methods that can withstand significant seismic activity. The primary objective of this experiment is to evaluate the performance of innovative reinforcement techniques under simulated earthquake conditions.</w:t>
      </w:r>
    </w:p>
    <w:p>
      <w:pPr>
        <w:pStyle w:val="BodyText"/>
      </w:pPr>
      <w:r>
        <w:t xml:space="preserve">The experiment aims to:</w:t>
      </w:r>
    </w:p>
    <w:p>
      <w:pPr>
        <w:numPr>
          <w:ilvl w:val="0"/>
          <w:numId w:val="1001"/>
        </w:numPr>
        <w:pStyle w:val="Compact"/>
      </w:pPr>
      <w:r>
        <w:t xml:space="preserve">Assess the structural integrity of reinforced concrete columns and beams under lateral loads.</w:t>
      </w:r>
    </w:p>
    <w:p>
      <w:pPr>
        <w:numPr>
          <w:ilvl w:val="0"/>
          <w:numId w:val="1001"/>
        </w:numPr>
        <w:pStyle w:val="Compact"/>
      </w:pPr>
      <w:r>
        <w:t xml:space="preserve">Determine the effectiveness of new reinforcement materials in enhancing ductility and energy dissipation.</w:t>
      </w:r>
    </w:p>
    <w:p>
      <w:pPr>
        <w:numPr>
          <w:ilvl w:val="0"/>
          <w:numId w:val="1001"/>
        </w:numPr>
        <w:pStyle w:val="Compact"/>
      </w:pPr>
      <w:r>
        <w:t xml:space="preserve">Provide data to inform building codes and standards specific to Almaty’s seismic risk profile.</w:t>
      </w:r>
    </w:p>
    <w:bookmarkEnd w:id="20"/>
    <w:bookmarkStart w:id="21" w:name="scope-and-applicability"/>
    <w:p>
      <w:pPr>
        <w:pStyle w:val="Heading2"/>
      </w:pPr>
      <w:r>
        <w:t xml:space="preserve">2. Scope and Applicability</w:t>
      </w:r>
    </w:p>
    <w:p>
      <w:pPr>
        <w:pStyle w:val="FirstParagraph"/>
      </w:pPr>
      <w:r>
        <w:t xml:space="preserve">This protocol is applicable to civil engineering projects in Almaty that involve the construction of mid-rise and high-rise buildings. It focuses on reinforced concrete structures, which are prevalent in the region due to their durability and cost-effectiveness. The findings from this experiment will be used to refine design practices and ensure compliance with local and international seismic safety standards.</w:t>
      </w:r>
    </w:p>
    <w:bookmarkEnd w:id="21"/>
    <w:bookmarkStart w:id="24" w:name="materials-and-equipment"/>
    <w:p>
      <w:pPr>
        <w:pStyle w:val="Heading2"/>
      </w:pPr>
      <w:r>
        <w:t xml:space="preserve">3. Materials and Equipment</w:t>
      </w:r>
    </w:p>
    <w:bookmarkStart w:id="22" w:name="materials"/>
    <w:p>
      <w:pPr>
        <w:pStyle w:val="Heading3"/>
      </w:pPr>
      <w:r>
        <w:t xml:space="preserve">3.1 Materials</w:t>
      </w:r>
    </w:p>
    <w:p>
      <w:pPr>
        <w:numPr>
          <w:ilvl w:val="0"/>
          <w:numId w:val="1002"/>
        </w:numPr>
        <w:pStyle w:val="Compact"/>
      </w:pPr>
      <w:r>
        <w:t xml:space="preserve">Portland cement (Type I/II)</w:t>
      </w:r>
    </w:p>
    <w:p>
      <w:pPr>
        <w:numPr>
          <w:ilvl w:val="0"/>
          <w:numId w:val="1002"/>
        </w:numPr>
        <w:pStyle w:val="Compact"/>
      </w:pPr>
      <w:r>
        <w:t xml:space="preserve">Coarse and fine aggregates sourced from local quarries in Kazakhstan</w:t>
      </w:r>
    </w:p>
    <w:p>
      <w:pPr>
        <w:numPr>
          <w:ilvl w:val="0"/>
          <w:numId w:val="1002"/>
        </w:numPr>
        <w:pStyle w:val="Compact"/>
      </w:pPr>
      <w:r>
        <w:t xml:space="preserve">Steel reinforcement bars (rebar) of varying grades (e.g., A400, A500)</w:t>
      </w:r>
    </w:p>
    <w:p>
      <w:pPr>
        <w:numPr>
          <w:ilvl w:val="0"/>
          <w:numId w:val="1002"/>
        </w:numPr>
        <w:pStyle w:val="Compact"/>
      </w:pPr>
      <w:r>
        <w:t xml:space="preserve">Fiber-reinforced polymers (FRP) for additional strengthening</w:t>
      </w:r>
    </w:p>
    <w:p>
      <w:pPr>
        <w:numPr>
          <w:ilvl w:val="0"/>
          <w:numId w:val="1002"/>
        </w:numPr>
        <w:pStyle w:val="Compact"/>
      </w:pPr>
      <w:r>
        <w:t xml:space="preserve">Water from Almaty’s municipal supply</w:t>
      </w:r>
    </w:p>
    <w:bookmarkEnd w:id="22"/>
    <w:bookmarkStart w:id="23" w:name="equipment"/>
    <w:p>
      <w:pPr>
        <w:pStyle w:val="Heading3"/>
      </w:pPr>
      <w:r>
        <w:t xml:space="preserve">3.2 Equipment</w:t>
      </w:r>
    </w:p>
    <w:p>
      <w:pPr>
        <w:numPr>
          <w:ilvl w:val="0"/>
          <w:numId w:val="1003"/>
        </w:numPr>
        <w:pStyle w:val="Compact"/>
      </w:pPr>
      <w:r>
        <w:t xml:space="preserve">Hydraulic actuator system for applying lateral loads</w:t>
      </w:r>
    </w:p>
    <w:p>
      <w:pPr>
        <w:numPr>
          <w:ilvl w:val="0"/>
          <w:numId w:val="1003"/>
        </w:numPr>
        <w:pStyle w:val="Compact"/>
      </w:pPr>
      <w:r>
        <w:t xml:space="preserve">Load cells and displacement transducers</w:t>
      </w:r>
    </w:p>
    <w:p>
      <w:pPr>
        <w:numPr>
          <w:ilvl w:val="0"/>
          <w:numId w:val="1003"/>
        </w:numPr>
        <w:pStyle w:val="Compact"/>
      </w:pPr>
      <w:r>
        <w:t xml:space="preserve">Data acquisition system for real-time monitoring</w:t>
      </w:r>
    </w:p>
    <w:p>
      <w:pPr>
        <w:numPr>
          <w:ilvl w:val="0"/>
          <w:numId w:val="1003"/>
        </w:numPr>
        <w:pStyle w:val="Compact"/>
      </w:pPr>
      <w:r>
        <w:t xml:space="preserve">Concrete mixing and curing equipment</w:t>
      </w:r>
    </w:p>
    <w:p>
      <w:pPr>
        <w:numPr>
          <w:ilvl w:val="0"/>
          <w:numId w:val="1003"/>
        </w:numPr>
        <w:pStyle w:val="Compact"/>
      </w:pPr>
      <w:r>
        <w:t xml:space="preserve">Non-destructive testing tools (e.g., ultrasonic pulse velocity tester)</w:t>
      </w:r>
    </w:p>
    <w:bookmarkEnd w:id="23"/>
    <w:bookmarkEnd w:id="24"/>
    <w:bookmarkStart w:id="27" w:name="experimental-setup"/>
    <w:p>
      <w:pPr>
        <w:pStyle w:val="Heading2"/>
      </w:pPr>
      <w:r>
        <w:t xml:space="preserve">4. Experimental Setup</w:t>
      </w:r>
    </w:p>
    <w:bookmarkStart w:id="25" w:name="specimen-design"/>
    <w:p>
      <w:pPr>
        <w:pStyle w:val="Heading3"/>
      </w:pPr>
      <w:r>
        <w:t xml:space="preserve">4.1 Specimen Design</w:t>
      </w:r>
    </w:p>
    <w:p>
      <w:pPr>
        <w:pStyle w:val="FirstParagraph"/>
      </w:pPr>
      <w:r>
        <w:t xml:space="preserve">Reinforced concrete specimens will be designed to represent typical structural elements found in Almaty buildings. Each specimen will include:</w:t>
      </w:r>
    </w:p>
    <w:p>
      <w:pPr>
        <w:numPr>
          <w:ilvl w:val="0"/>
          <w:numId w:val="1004"/>
        </w:numPr>
        <w:pStyle w:val="Compact"/>
      </w:pPr>
      <w:r>
        <w:t xml:space="preserve">Columns with dimensions of 400mm x 400mm and a height of 2000mm.</w:t>
      </w:r>
    </w:p>
    <w:p>
      <w:pPr>
        <w:numPr>
          <w:ilvl w:val="0"/>
          <w:numId w:val="1004"/>
        </w:numPr>
        <w:pStyle w:val="Compact"/>
      </w:pPr>
      <w:r>
        <w:t xml:space="preserve">Beams with dimensions of 300mm x 600mm and a span of 3000mm.</w:t>
      </w:r>
    </w:p>
    <w:p>
      <w:pPr>
        <w:numPr>
          <w:ilvl w:val="0"/>
          <w:numId w:val="1004"/>
        </w:numPr>
        <w:pStyle w:val="Compact"/>
      </w:pPr>
      <w:r>
        <w:t xml:space="preserve">Reinforcement ratios optimized for seismic resistance.</w:t>
      </w:r>
    </w:p>
    <w:bookmarkEnd w:id="25"/>
    <w:bookmarkStart w:id="26" w:name="test-configuration"/>
    <w:p>
      <w:pPr>
        <w:pStyle w:val="Heading3"/>
      </w:pPr>
      <w:r>
        <w:t xml:space="preserve">4.2 Test Configuration</w:t>
      </w:r>
    </w:p>
    <w:p>
      <w:pPr>
        <w:pStyle w:val="FirstParagraph"/>
      </w:pPr>
      <w:r>
        <w:t xml:space="preserve">The specimens will be mounted on a shake table capable of simulating earthquake ground motions specific to Almaty’s seismic history. The test configuration will include:</w:t>
      </w:r>
    </w:p>
    <w:p>
      <w:pPr>
        <w:numPr>
          <w:ilvl w:val="0"/>
          <w:numId w:val="1005"/>
        </w:numPr>
        <w:pStyle w:val="Compact"/>
      </w:pPr>
      <w:r>
        <w:t xml:space="preserve">Fixed base conditions to simulate real-world foundation constraints.</w:t>
      </w:r>
    </w:p>
    <w:p>
      <w:pPr>
        <w:numPr>
          <w:ilvl w:val="0"/>
          <w:numId w:val="1005"/>
        </w:numPr>
        <w:pStyle w:val="Compact"/>
      </w:pPr>
      <w:r>
        <w:t xml:space="preserve">Instrumentation to measure forces, displacements, and accelerations.</w:t>
      </w:r>
    </w:p>
    <w:bookmarkEnd w:id="26"/>
    <w:bookmarkEnd w:id="27"/>
    <w:bookmarkStart w:id="31" w:name="procedure"/>
    <w:p>
      <w:pPr>
        <w:pStyle w:val="Heading2"/>
      </w:pPr>
      <w:r>
        <w:t xml:space="preserve">5. Procedure</w:t>
      </w:r>
    </w:p>
    <w:bookmarkStart w:id="28" w:name="preparation"/>
    <w:p>
      <w:pPr>
        <w:pStyle w:val="Heading3"/>
      </w:pPr>
      <w:r>
        <w:t xml:space="preserve">5.1 Preparation</w:t>
      </w:r>
    </w:p>
    <w:p>
      <w:pPr>
        <w:numPr>
          <w:ilvl w:val="0"/>
          <w:numId w:val="1006"/>
        </w:numPr>
        <w:pStyle w:val="Compact"/>
      </w:pPr>
      <w:r>
        <w:t xml:space="preserve">Mix concrete according to the specified proportions and pour into molds.</w:t>
      </w:r>
    </w:p>
    <w:p>
      <w:pPr>
        <w:numPr>
          <w:ilvl w:val="0"/>
          <w:numId w:val="1006"/>
        </w:numPr>
        <w:pStyle w:val="Compact"/>
      </w:pPr>
      <w:r>
        <w:t xml:space="preserve">Cure specimens for 28 days under controlled temperature and humidity conditions.</w:t>
      </w:r>
    </w:p>
    <w:p>
      <w:pPr>
        <w:numPr>
          <w:ilvl w:val="0"/>
          <w:numId w:val="1006"/>
        </w:numPr>
        <w:pStyle w:val="Compact"/>
      </w:pPr>
      <w:r>
        <w:t xml:space="preserve">Install reinforcement bars and FRP materials as per the design specifications.</w:t>
      </w:r>
    </w:p>
    <w:bookmarkEnd w:id="28"/>
    <w:bookmarkStart w:id="29" w:name="testing"/>
    <w:p>
      <w:pPr>
        <w:pStyle w:val="Heading3"/>
      </w:pPr>
      <w:r>
        <w:t xml:space="preserve">5.2 Testing</w:t>
      </w:r>
    </w:p>
    <w:p>
      <w:pPr>
        <w:numPr>
          <w:ilvl w:val="0"/>
          <w:numId w:val="1007"/>
        </w:numPr>
        <w:pStyle w:val="Compact"/>
      </w:pPr>
      <w:r>
        <w:t xml:space="preserve">Mount the specimens on the shake table and secure them in place.</w:t>
      </w:r>
    </w:p>
    <w:p>
      <w:pPr>
        <w:numPr>
          <w:ilvl w:val="0"/>
          <w:numId w:val="1007"/>
        </w:numPr>
        <w:pStyle w:val="Compact"/>
      </w:pPr>
      <w:r>
        <w:t xml:space="preserve">Calibrate all sensors and data acquisition systems.</w:t>
      </w:r>
    </w:p>
    <w:p>
      <w:pPr>
        <w:numPr>
          <w:ilvl w:val="0"/>
          <w:numId w:val="1007"/>
        </w:numPr>
        <w:pStyle w:val="Compact"/>
      </w:pPr>
      <w:r>
        <w:t xml:space="preserve">Apply incremental lateral loads to simulate earthquake intensities ranging from minor to major seismic events.</w:t>
      </w:r>
    </w:p>
    <w:p>
      <w:pPr>
        <w:numPr>
          <w:ilvl w:val="0"/>
          <w:numId w:val="1007"/>
        </w:numPr>
        <w:pStyle w:val="Compact"/>
      </w:pPr>
      <w:r>
        <w:t xml:space="preserve">Record data continuously throughout the testing process.</w:t>
      </w:r>
    </w:p>
    <w:bookmarkEnd w:id="29"/>
    <w:bookmarkStart w:id="30" w:name="post-testing-analysis"/>
    <w:p>
      <w:pPr>
        <w:pStyle w:val="Heading3"/>
      </w:pPr>
      <w:r>
        <w:t xml:space="preserve">5.3 Post-Testing Analysis</w:t>
      </w:r>
    </w:p>
    <w:p>
      <w:pPr>
        <w:numPr>
          <w:ilvl w:val="0"/>
          <w:numId w:val="1008"/>
        </w:numPr>
        <w:pStyle w:val="Compact"/>
      </w:pPr>
      <w:r>
        <w:t xml:space="preserve">Inspect specimens for visible damage, such as cracking and spalling.</w:t>
      </w:r>
    </w:p>
    <w:p>
      <w:pPr>
        <w:numPr>
          <w:ilvl w:val="0"/>
          <w:numId w:val="1008"/>
        </w:numPr>
        <w:pStyle w:val="Compact"/>
      </w:pPr>
      <w:r>
        <w:t xml:space="preserve">Analyze collected data to evaluate structural performance metrics, including ductility, stiffness degradation, and energy dissipation capacity.</w:t>
      </w:r>
    </w:p>
    <w:p>
      <w:pPr>
        <w:numPr>
          <w:ilvl w:val="0"/>
          <w:numId w:val="1008"/>
        </w:numPr>
        <w:pStyle w:val="Compact"/>
      </w:pPr>
      <w:r>
        <w:t xml:space="preserve">Compare results with theoretical predictions and existing building codes.</w:t>
      </w:r>
    </w:p>
    <w:bookmarkEnd w:id="30"/>
    <w:bookmarkEnd w:id="31"/>
    <w:bookmarkStart w:id="32" w:name="safety-considerations"/>
    <w:p>
      <w:pPr>
        <w:pStyle w:val="Heading2"/>
      </w:pPr>
      <w:r>
        <w:t xml:space="preserve">6. Safety Considerations</w:t>
      </w:r>
    </w:p>
    <w:p>
      <w:pPr>
        <w:pStyle w:val="FirstParagraph"/>
      </w:pPr>
      <w:r>
        <w:t xml:space="preserve">Safety is paramount during this experiment. All personnel must adhere to the following guidelines:</w:t>
      </w:r>
    </w:p>
    <w:p>
      <w:pPr>
        <w:numPr>
          <w:ilvl w:val="0"/>
          <w:numId w:val="1009"/>
        </w:numPr>
        <w:pStyle w:val="Compact"/>
      </w:pPr>
      <w:r>
        <w:t xml:space="preserve">Wear appropriate personal protective equipment (PPE), including helmets, gloves, and safety glasses.</w:t>
      </w:r>
    </w:p>
    <w:p>
      <w:pPr>
        <w:numPr>
          <w:ilvl w:val="0"/>
          <w:numId w:val="1009"/>
        </w:numPr>
        <w:pStyle w:val="Compact"/>
      </w:pPr>
      <w:r>
        <w:t xml:space="preserve">Ensure that all equipment is properly maintained and inspected before use.</w:t>
      </w:r>
    </w:p>
    <w:p>
      <w:pPr>
        <w:numPr>
          <w:ilvl w:val="0"/>
          <w:numId w:val="1009"/>
        </w:numPr>
        <w:pStyle w:val="Compact"/>
      </w:pPr>
      <w:r>
        <w:t xml:space="preserve">Establish emergency procedures in case of equipment failure or unexpected structural collapse.</w:t>
      </w:r>
    </w:p>
    <w:bookmarkEnd w:id="32"/>
    <w:bookmarkStart w:id="33" w:name="data-analysis-and-reporting"/>
    <w:p>
      <w:pPr>
        <w:pStyle w:val="Heading2"/>
      </w:pPr>
      <w:r>
        <w:t xml:space="preserve">7. Data Analysis and Reporting</w:t>
      </w:r>
    </w:p>
    <w:p>
      <w:pPr>
        <w:pStyle w:val="FirstParagraph"/>
      </w:pPr>
      <w:r>
        <w:t xml:space="preserve">Data collected during the experiment will be analyzed using statistical methods to determine the reliability and significance of the results. A comprehensive report will be prepared, detailing:</w:t>
      </w:r>
    </w:p>
    <w:p>
      <w:pPr>
        <w:numPr>
          <w:ilvl w:val="0"/>
          <w:numId w:val="1010"/>
        </w:numPr>
        <w:pStyle w:val="Compact"/>
      </w:pPr>
      <w:r>
        <w:t xml:space="preserve">Experimental setup and procedures.</w:t>
      </w:r>
    </w:p>
    <w:p>
      <w:pPr>
        <w:numPr>
          <w:ilvl w:val="0"/>
          <w:numId w:val="1010"/>
        </w:numPr>
        <w:pStyle w:val="Compact"/>
      </w:pPr>
      <w:r>
        <w:t xml:space="preserve">Observed structural behavior under seismic loading.</w:t>
      </w:r>
    </w:p>
    <w:p>
      <w:pPr>
        <w:numPr>
          <w:ilvl w:val="0"/>
          <w:numId w:val="1010"/>
        </w:numPr>
        <w:pStyle w:val="Compact"/>
      </w:pPr>
      <w:r>
        <w:t xml:space="preserve">Recommendations for improving seismic resilience in Almaty’s construction practices.</w:t>
      </w:r>
    </w:p>
    <w:p>
      <w:pPr>
        <w:pStyle w:val="FirstParagraph"/>
      </w:pPr>
      <w:r>
        <w:t xml:space="preserve">The report will be submitted to relevant stakeholders, including government agencies, civil engineering firms, and academic institutions in Kazakhstan.</w:t>
      </w:r>
    </w:p>
    <w:bookmarkEnd w:id="33"/>
    <w:bookmarkStart w:id="34" w:name="conclusion"/>
    <w:p>
      <w:pPr>
        <w:pStyle w:val="Heading2"/>
      </w:pPr>
      <w:r>
        <w:t xml:space="preserve">8. Conclusion</w:t>
      </w:r>
    </w:p>
    <w:p>
      <w:pPr>
        <w:pStyle w:val="FirstParagraph"/>
      </w:pPr>
      <w:r>
        <w:t xml:space="preserve">This Experiment Protocol provides a structured approach for evaluating the seismic resilience of reinforced concrete structures in Almaty. By adhering to these guidelines, civil engineers can contribute to the development of safer and more resilient infrastructure in one of Kazakhstan’s most seismically active regions. The insights gained from this experiment will play a crucial role in shaping future building codes and construction practices in Almaty.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Seismic Resilience of Reinforced Concrete Structures in Almaty</dc:title>
  <dc:creator/>
  <dc:language>en</dc:language>
  <cp:keywords/>
  <dcterms:created xsi:type="dcterms:W3CDTF">2026-10-10T02:15:27Z</dcterms:created>
  <dcterms:modified xsi:type="dcterms:W3CDTF">2026-10-10T02:15:27Z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