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Assessment</w:t>
      </w:r>
      <w:r>
        <w:t xml:space="preserve"> </w:t>
      </w:r>
      <w:r>
        <w:t xml:space="preserve">for</w:t>
      </w:r>
      <w:r>
        <w:t xml:space="preserve"> </w:t>
      </w:r>
      <w:r>
        <w:t xml:space="preserve">Nairobi</w:t>
      </w:r>
      <w:r>
        <w:t xml:space="preserve"> </w:t>
      </w:r>
      <w:r>
        <w:t xml:space="preserve">Infrastructure</w:t>
      </w:r>
    </w:p>
    <w:bookmarkStart w:id="20" w:name="X9418134139a492a19f46c1818e51648f74d690b"/>
    <w:p>
      <w:pPr>
        <w:pStyle w:val="Heading1"/>
      </w:pPr>
      <w:r>
        <w:t xml:space="preserve">Experiment Protocol: Geotechnical Stability Assessment for Nairobi Infrastructure</w:t>
      </w:r>
    </w:p>
    <w:p>
      <w:pPr>
        <w:pStyle w:val="FirstParagraph"/>
      </w:pPr>
      <w:r>
        <w:rPr>
          <w:bCs/>
          <w:b/>
        </w:rPr>
        <w:t xml:space="preserve">Role:</w:t>
      </w:r>
      <w:r>
        <w:t xml:space="preserve"> </w:t>
      </w:r>
      <w:r>
        <w:t xml:space="preserve">Civil Engineer</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procedures to be followed by a Civil Engineer conducting geotechnical stability assessments in Nairobi, Kenya. The primary objective is to evaluate the soil mechanics and foundation stability of proposed infrastructure projects in the Nairobi metropolitan area. Given Nairobi's unique geological composition, which includes volcanic soils and varying water tables, this protocol ensures that all experimental data collected adheres to international standards while addressing local environmental challenges.</w:t>
      </w:r>
    </w:p>
    <w:p>
      <w:pPr>
        <w:pStyle w:val="BodyText"/>
      </w:pPr>
      <w:r>
        <w:t xml:space="preserve">The Civil Engineer must ensure that the experimental design minimizes risk to personnel and the surrounding environment, particularly in densely populated areas of Nairobi such as Westlands, Kilimani, and the CBD.</w:t>
      </w:r>
    </w:p>
    <w:bookmarkEnd w:id="21"/>
    <w:bookmarkStart w:id="22" w:name="scope-and-applicability"/>
    <w:p>
      <w:pPr>
        <w:pStyle w:val="Heading2"/>
      </w:pPr>
      <w:r>
        <w:t xml:space="preserve">2. Scope and Applicability</w:t>
      </w:r>
    </w:p>
    <w:p>
      <w:pPr>
        <w:pStyle w:val="FirstParagraph"/>
      </w:pPr>
      <w:r>
        <w:t xml:space="preserve">This protocol applies to all site investigation activities conducted by Civil Engineers within the jurisdiction of the Nairobi County Government. It covers:</w:t>
      </w:r>
    </w:p>
    <w:p>
      <w:pPr>
        <w:numPr>
          <w:ilvl w:val="0"/>
          <w:numId w:val="1001"/>
        </w:numPr>
        <w:pStyle w:val="Compact"/>
      </w:pPr>
      <w:r>
        <w:t xml:space="preserve">Soil sampling and classification.</w:t>
      </w:r>
    </w:p>
    <w:p>
      <w:pPr>
        <w:numPr>
          <w:ilvl w:val="0"/>
          <w:numId w:val="1001"/>
        </w:numPr>
        <w:pStyle w:val="Compact"/>
      </w:pPr>
      <w:r>
        <w:t xml:space="preserve">In-situ testing methods (Standard Penetration Test, Cone Penetration Test).</w:t>
      </w:r>
    </w:p>
    <w:p>
      <w:pPr>
        <w:numPr>
          <w:ilvl w:val="0"/>
          <w:numId w:val="1001"/>
        </w:numPr>
        <w:pStyle w:val="Compact"/>
      </w:pPr>
      <w:r>
        <w:t xml:space="preserve">Groundwater level monitoring.</w:t>
      </w:r>
    </w:p>
    <w:p>
      <w:pPr>
        <w:numPr>
          <w:ilvl w:val="0"/>
          <w:numId w:val="1001"/>
        </w:numPr>
        <w:pStyle w:val="Compact"/>
      </w:pPr>
      <w:r>
        <w:t xml:space="preserve">Laboratory testing of soil samples.</w:t>
      </w:r>
    </w:p>
    <w:p>
      <w:pPr>
        <w:pStyle w:val="FirstParagraph"/>
      </w:pPr>
      <w:r>
        <w:t xml:space="preserve">The protocol is designed to support the design of foundations for high-rise buildings, road networks, and drainage systems typical of Nairobi's rapid urbanization.</w:t>
      </w:r>
    </w:p>
    <w:bookmarkEnd w:id="22"/>
    <w:bookmarkStart w:id="23" w:name="regulatory-compliance-and-standards"/>
    <w:p>
      <w:pPr>
        <w:pStyle w:val="Heading2"/>
      </w:pPr>
      <w:r>
        <w:t xml:space="preserve">3. Regulatory Compliance and Standards</w:t>
      </w:r>
    </w:p>
    <w:p>
      <w:pPr>
        <w:pStyle w:val="FirstParagraph"/>
      </w:pPr>
      <w:r>
        <w:t xml:space="preserve">All experiments must comply with the following regulations and standards:</w:t>
      </w:r>
    </w:p>
    <w:p>
      <w:pPr>
        <w:numPr>
          <w:ilvl w:val="0"/>
          <w:numId w:val="1002"/>
        </w:numPr>
        <w:pStyle w:val="Compact"/>
      </w:pPr>
      <w:r>
        <w:rPr>
          <w:bCs/>
          <w:b/>
        </w:rPr>
        <w:t xml:space="preserve">National Construction Authority (NCA) of Kenya:</w:t>
      </w:r>
      <w:r>
        <w:t xml:space="preserve"> </w:t>
      </w:r>
      <w:r>
        <w:t xml:space="preserve">Adherence to building codes and safety regulations.</w:t>
      </w:r>
    </w:p>
    <w:p>
      <w:pPr>
        <w:numPr>
          <w:ilvl w:val="0"/>
          <w:numId w:val="1002"/>
        </w:numPr>
        <w:pStyle w:val="Compact"/>
      </w:pPr>
      <w:r>
        <w:rPr>
          <w:bCs/>
          <w:b/>
        </w:rPr>
        <w:t xml:space="preserve">Kenya Bureau of Standards (KEBS):</w:t>
      </w:r>
      <w:r>
        <w:t xml:space="preserve"> </w:t>
      </w:r>
      <w:r>
        <w:t xml:space="preserve">Compliance with KEBS standards for construction materials and testing methods.</w:t>
      </w:r>
    </w:p>
    <w:p>
      <w:pPr>
        <w:numPr>
          <w:ilvl w:val="0"/>
          <w:numId w:val="1002"/>
        </w:numPr>
        <w:pStyle w:val="Compact"/>
      </w:pPr>
      <w:r>
        <w:rPr>
          <w:bCs/>
          <w:b/>
        </w:rPr>
        <w:t xml:space="preserve">Nairobi County Government:</w:t>
      </w:r>
      <w:r>
        <w:t xml:space="preserve"> </w:t>
      </w:r>
      <w:r>
        <w:t xml:space="preserve">Obtaining necessary permits for site access and excavation.</w:t>
      </w:r>
    </w:p>
    <w:p>
      <w:pPr>
        <w:numPr>
          <w:ilvl w:val="0"/>
          <w:numId w:val="1002"/>
        </w:numPr>
        <w:pStyle w:val="Compact"/>
      </w:pPr>
      <w:r>
        <w:rPr>
          <w:bCs/>
          <w:b/>
        </w:rPr>
        <w:t xml:space="preserve">International Standards:</w:t>
      </w:r>
      <w:r>
        <w:t xml:space="preserve"> </w:t>
      </w:r>
      <w:r>
        <w:t xml:space="preserve">Reference to ASTM (American Society for Testing and Materials) and BS (British Standards) where local standards are silent.</w:t>
      </w:r>
    </w:p>
    <w:p>
      <w:pPr>
        <w:pStyle w:val="FirstParagraph"/>
      </w:pPr>
      <w:r>
        <w:rPr>
          <w:bCs/>
          <w:b/>
        </w:rPr>
        <w:t xml:space="preserve">Note:</w:t>
      </w:r>
      <w:r>
        <w:t xml:space="preserve"> </w:t>
      </w:r>
      <w:r>
        <w:t xml:space="preserve">The Civil Engineer is responsible for ensuring that all permits are secured before commencing any fieldwork in Nairobi.</w:t>
      </w:r>
    </w:p>
    <w:bookmarkEnd w:id="23"/>
    <w:bookmarkStart w:id="27" w:name="experimental-design-and-methodology"/>
    <w:p>
      <w:pPr>
        <w:pStyle w:val="Heading2"/>
      </w:pPr>
      <w:r>
        <w:t xml:space="preserve">4. Experimental Design and Methodology</w:t>
      </w:r>
    </w:p>
    <w:bookmarkStart w:id="24" w:name="site-selection-and-preparation"/>
    <w:p>
      <w:pPr>
        <w:pStyle w:val="Heading3"/>
      </w:pPr>
      <w:r>
        <w:t xml:space="preserve">4.1 Site Selection and Preparation</w:t>
      </w:r>
    </w:p>
    <w:p>
      <w:pPr>
        <w:pStyle w:val="FirstParagraph"/>
      </w:pPr>
      <w:r>
        <w:t xml:space="preserve">The Civil Engineer must conduct a preliminary site survey to identify potential hazards, including underground utilities, traffic patterns, and pedestrian flow. In Nairobi, coordination with the Kenya Power and Lighting Company (KPLC) and Nairobi Water and Sewerage Company (NWSC) is essential to avoid damaging existing infrastructure.</w:t>
      </w:r>
    </w:p>
    <w:bookmarkEnd w:id="24"/>
    <w:bookmarkStart w:id="25" w:name="soil-sampling"/>
    <w:p>
      <w:pPr>
        <w:pStyle w:val="Heading3"/>
      </w:pPr>
      <w:r>
        <w:t xml:space="preserve">4.2 Soil Sampling</w:t>
      </w:r>
    </w:p>
    <w:p>
      <w:pPr>
        <w:pStyle w:val="FirstParagraph"/>
      </w:pPr>
      <w:r>
        <w:t xml:space="preserve">Soil samples will be collected using both disturbed and undisturbed sampling techniques. The depth of sampling will be determined based on the proposed structure's load requirements. For high-rise buildings in Nairobi, sampling depths of up to 30 meters may be required to reach competent bearing strata.</w:t>
      </w:r>
    </w:p>
    <w:bookmarkEnd w:id="25"/>
    <w:bookmarkStart w:id="26" w:name="in-situ-testing"/>
    <w:p>
      <w:pPr>
        <w:pStyle w:val="Heading3"/>
      </w:pPr>
      <w:r>
        <w:t xml:space="preserve">4.3 In-Situ Testing</w:t>
      </w:r>
    </w:p>
    <w:p>
      <w:pPr>
        <w:pStyle w:val="FirstParagraph"/>
      </w:pPr>
      <w:r>
        <w:t xml:space="preserve">The following in-situ tests will be conducted:</w:t>
      </w:r>
    </w:p>
    <w:p>
      <w:pPr>
        <w:numPr>
          <w:ilvl w:val="0"/>
          <w:numId w:val="1003"/>
        </w:numPr>
        <w:pStyle w:val="Compact"/>
      </w:pPr>
      <w:r>
        <w:rPr>
          <w:bCs/>
          <w:b/>
        </w:rPr>
        <w:t xml:space="preserve">Standard Penetration Test (SPT):</w:t>
      </w:r>
      <w:r>
        <w:t xml:space="preserve"> </w:t>
      </w:r>
      <w:r>
        <w:t xml:space="preserve">To determine the relative density and bearing capacity of soils.</w:t>
      </w:r>
    </w:p>
    <w:p>
      <w:pPr>
        <w:numPr>
          <w:ilvl w:val="0"/>
          <w:numId w:val="1003"/>
        </w:numPr>
        <w:pStyle w:val="Compact"/>
      </w:pPr>
      <w:r>
        <w:rPr>
          <w:bCs/>
          <w:b/>
        </w:rPr>
        <w:t xml:space="preserve">Cone Penetration Test (CPT):</w:t>
      </w:r>
      <w:r>
        <w:t xml:space="preserve"> </w:t>
      </w:r>
      <w:r>
        <w:t xml:space="preserve">To provide continuous profiling of soil properties.</w:t>
      </w:r>
    </w:p>
    <w:p>
      <w:pPr>
        <w:numPr>
          <w:ilvl w:val="0"/>
          <w:numId w:val="1003"/>
        </w:numPr>
        <w:pStyle w:val="Compact"/>
      </w:pPr>
      <w:r>
        <w:rPr>
          <w:bCs/>
          <w:b/>
        </w:rPr>
        <w:t xml:space="preserve">Plate Load Test:</w:t>
      </w:r>
      <w:r>
        <w:t xml:space="preserve"> </w:t>
      </w:r>
      <w:r>
        <w:t xml:space="preserve">To assess the bearing capacity of the soil at the foundation level.</w:t>
      </w:r>
    </w:p>
    <w:bookmarkEnd w:id="26"/>
    <w:bookmarkEnd w:id="27"/>
    <w:bookmarkStart w:id="28" w:name="laboratory-testing-procedures"/>
    <w:p>
      <w:pPr>
        <w:pStyle w:val="Heading2"/>
      </w:pPr>
      <w:r>
        <w:t xml:space="preserve">5. Laboratory Testing Procedures</w:t>
      </w:r>
    </w:p>
    <w:p>
      <w:pPr>
        <w:pStyle w:val="FirstParagraph"/>
      </w:pPr>
      <w:r>
        <w:t xml:space="preserve">Collected soil samples will be transported to an accredited laboratory in Nairobi for further analysis. The following tests will be performed:</w:t>
      </w:r>
    </w:p>
    <w:p>
      <w:pPr>
        <w:numPr>
          <w:ilvl w:val="0"/>
          <w:numId w:val="1004"/>
        </w:numPr>
        <w:pStyle w:val="Compact"/>
      </w:pPr>
      <w:r>
        <w:rPr>
          <w:bCs/>
          <w:b/>
        </w:rPr>
        <w:t xml:space="preserve">Grain Size Analysis:</w:t>
      </w:r>
      <w:r>
        <w:t xml:space="preserve"> </w:t>
      </w:r>
      <w:r>
        <w:t xml:space="preserve">To classify the soil according to the Unified Soil Classification System (USCS).</w:t>
      </w:r>
    </w:p>
    <w:p>
      <w:pPr>
        <w:numPr>
          <w:ilvl w:val="0"/>
          <w:numId w:val="1004"/>
        </w:numPr>
        <w:pStyle w:val="Compact"/>
      </w:pPr>
      <w:r>
        <w:rPr>
          <w:bCs/>
          <w:b/>
        </w:rPr>
        <w:t xml:space="preserve">Atterberg Limits:</w:t>
      </w:r>
      <w:r>
        <w:t xml:space="preserve"> </w:t>
      </w:r>
      <w:r>
        <w:t xml:space="preserve">To determine the plasticity and liquidity of fine-grained soils.</w:t>
      </w:r>
    </w:p>
    <w:p>
      <w:pPr>
        <w:numPr>
          <w:ilvl w:val="0"/>
          <w:numId w:val="1004"/>
        </w:numPr>
        <w:pStyle w:val="Compact"/>
      </w:pPr>
      <w:r>
        <w:rPr>
          <w:bCs/>
          <w:b/>
        </w:rPr>
        <w:t xml:space="preserve">Compaction Tests:</w:t>
      </w:r>
      <w:r>
        <w:t xml:space="preserve"> </w:t>
      </w:r>
      <w:r>
        <w:t xml:space="preserve">To establish the optimum moisture content and maximum dry density.</w:t>
      </w:r>
    </w:p>
    <w:p>
      <w:pPr>
        <w:numPr>
          <w:ilvl w:val="0"/>
          <w:numId w:val="1004"/>
        </w:numPr>
        <w:pStyle w:val="Compact"/>
      </w:pPr>
      <w:r>
        <w:rPr>
          <w:bCs/>
          <w:b/>
        </w:rPr>
        <w:t xml:space="preserve">Shear Strength Tests:</w:t>
      </w:r>
      <w:r>
        <w:t xml:space="preserve"> </w:t>
      </w:r>
      <w:r>
        <w:t xml:space="preserve">To evaluate the soil's resistance to shear failure.</w:t>
      </w:r>
    </w:p>
    <w:p>
      <w:pPr>
        <w:pStyle w:val="FirstParagraph"/>
      </w:pPr>
      <w:r>
        <w:t xml:space="preserve">The Civil Engineer must ensure that all laboratory tests are conducted under controlled conditions to maintain the integrity of the results.</w:t>
      </w:r>
    </w:p>
    <w:bookmarkEnd w:id="28"/>
    <w:bookmarkStart w:id="29" w:name="data-analysis-and-reporting"/>
    <w:p>
      <w:pPr>
        <w:pStyle w:val="Heading2"/>
      </w:pPr>
      <w:r>
        <w:t xml:space="preserve">6. Data Analysis and Reporting</w:t>
      </w:r>
    </w:p>
    <w:p>
      <w:pPr>
        <w:pStyle w:val="FirstParagraph"/>
      </w:pPr>
      <w:r>
        <w:t xml:space="preserve">All experimental data will be analyzed using geotechnical software tools. The Civil Engineer will prepare a comprehensive report that includes:</w:t>
      </w:r>
    </w:p>
    <w:p>
      <w:pPr>
        <w:numPr>
          <w:ilvl w:val="0"/>
          <w:numId w:val="1005"/>
        </w:numPr>
        <w:pStyle w:val="Compact"/>
      </w:pPr>
      <w:r>
        <w:t xml:space="preserve">Site description and geological profile.</w:t>
      </w:r>
    </w:p>
    <w:p>
      <w:pPr>
        <w:numPr>
          <w:ilvl w:val="0"/>
          <w:numId w:val="1005"/>
        </w:numPr>
        <w:pStyle w:val="Compact"/>
      </w:pPr>
      <w:r>
        <w:t xml:space="preserve">Summary of field and laboratory test results.</w:t>
      </w:r>
    </w:p>
    <w:p>
      <w:pPr>
        <w:numPr>
          <w:ilvl w:val="0"/>
          <w:numId w:val="1005"/>
        </w:numPr>
        <w:pStyle w:val="Compact"/>
      </w:pPr>
      <w:r>
        <w:t xml:space="preserve">Recommendations for foundation design.</w:t>
      </w:r>
    </w:p>
    <w:p>
      <w:pPr>
        <w:numPr>
          <w:ilvl w:val="0"/>
          <w:numId w:val="1005"/>
        </w:numPr>
        <w:pStyle w:val="Compact"/>
      </w:pPr>
      <w:r>
        <w:t xml:space="preserve">Risk assessment and mitigation strategies.</w:t>
      </w:r>
    </w:p>
    <w:p>
      <w:pPr>
        <w:pStyle w:val="FirstParagraph"/>
      </w:pPr>
      <w:r>
        <w:t xml:space="preserve">The report will be submitted to the relevant stakeholders, including the Nairobi County Government and the project developers, for review and approval.</w:t>
      </w:r>
    </w:p>
    <w:bookmarkEnd w:id="29"/>
    <w:bookmarkStart w:id="30" w:name="Xcf3454a33cf99f7c5a971139981a636255a75a8"/>
    <w:p>
      <w:pPr>
        <w:pStyle w:val="Heading2"/>
      </w:pPr>
      <w:r>
        <w:t xml:space="preserve">7. Health, Safety, and Environmental Considerations</w:t>
      </w:r>
    </w:p>
    <w:p>
      <w:pPr>
        <w:pStyle w:val="FirstParagraph"/>
      </w:pPr>
      <w:r>
        <w:t xml:space="preserve">Safety is paramount during all experimental activities. The Civil Engineer must ensure that:</w:t>
      </w:r>
    </w:p>
    <w:p>
      <w:pPr>
        <w:numPr>
          <w:ilvl w:val="0"/>
          <w:numId w:val="1006"/>
        </w:numPr>
        <w:pStyle w:val="Compact"/>
      </w:pPr>
      <w:r>
        <w:t xml:space="preserve">All personnel are equipped with appropriate personal protective equipment (PPE).</w:t>
      </w:r>
    </w:p>
    <w:p>
      <w:pPr>
        <w:numPr>
          <w:ilvl w:val="0"/>
          <w:numId w:val="1006"/>
        </w:numPr>
        <w:pStyle w:val="Compact"/>
      </w:pPr>
      <w:r>
        <w:t xml:space="preserve">Site access is restricted to authorized personnel only.</w:t>
      </w:r>
    </w:p>
    <w:p>
      <w:pPr>
        <w:numPr>
          <w:ilvl w:val="0"/>
          <w:numId w:val="1006"/>
        </w:numPr>
        <w:pStyle w:val="Compact"/>
      </w:pPr>
      <w:r>
        <w:t xml:space="preserve">Environmental impacts, such as dust and noise, are minimized, especially in residential areas of Nairobi.</w:t>
      </w:r>
    </w:p>
    <w:p>
      <w:pPr>
        <w:numPr>
          <w:ilvl w:val="0"/>
          <w:numId w:val="1006"/>
        </w:numPr>
        <w:pStyle w:val="Compact"/>
      </w:pPr>
      <w:r>
        <w:t xml:space="preserve">Waste materials from drilling and testing are disposed of in accordance with local regulations.</w:t>
      </w:r>
    </w:p>
    <w:bookmarkEnd w:id="30"/>
    <w:bookmarkStart w:id="31" w:name="conclusion"/>
    <w:p>
      <w:pPr>
        <w:pStyle w:val="Heading2"/>
      </w:pPr>
      <w:r>
        <w:t xml:space="preserve">8. Conclusion</w:t>
      </w:r>
    </w:p>
    <w:p>
      <w:pPr>
        <w:pStyle w:val="FirstParagraph"/>
      </w:pPr>
      <w:r>
        <w:t xml:space="preserve">This Experiment Protocol provides a structured approach for Civil Engineers to conduct geotechnical stability assessments in Nairobi, Kenya. By adhering to this protocol, engineers can ensure that infrastructure projects are built on a solid foundation, contributing to the sustainable development of Nairobi's urban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Assessment for Nairobi Infrastructure</dc:title>
  <dc:creator/>
  <dc:language>en</dc:language>
  <cp:keywords/>
  <dcterms:created xsi:type="dcterms:W3CDTF">2026-10-10T03:28:42Z</dcterms:created>
  <dcterms:modified xsi:type="dcterms:W3CDTF">2026-10-10T03:28:42Z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