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and</w:t>
      </w:r>
      <w:r>
        <w:t xml:space="preserve"> </w:t>
      </w:r>
      <w:r>
        <w:t xml:space="preserve">Structural</w:t>
      </w:r>
      <w:r>
        <w:t xml:space="preserve"> </w:t>
      </w:r>
      <w:r>
        <w:t xml:space="preserve">Assessment</w:t>
      </w:r>
      <w:r>
        <w:t xml:space="preserve"> </w:t>
      </w:r>
      <w:r>
        <w:t xml:space="preserve">in</w:t>
      </w:r>
      <w:r>
        <w:t xml:space="preserve"> </w:t>
      </w:r>
      <w:r>
        <w:t xml:space="preserve">Kuwait</w:t>
      </w:r>
      <w:r>
        <w:t xml:space="preserve"> </w:t>
      </w:r>
      <w:r>
        <w:t xml:space="preserve">City</w:t>
      </w:r>
    </w:p>
    <w:bookmarkStart w:id="20" w:name="Xad7ca0c69057e1f95ae36b103b13703e5fb867a"/>
    <w:p>
      <w:pPr>
        <w:pStyle w:val="Heading1"/>
      </w:pPr>
      <w:r>
        <w:t xml:space="preserve">Experiment Protocol: Geotechnical and Structural Assessment in Kuwait City</w:t>
      </w:r>
    </w:p>
    <w:p>
      <w:pPr>
        <w:pStyle w:val="FirstParagraph"/>
      </w:pPr>
      <w:r>
        <w:rPr>
          <w:bCs/>
          <w:b/>
        </w:rPr>
        <w:t xml:space="preserve">Document ID:</w:t>
      </w:r>
      <w:r>
        <w:t xml:space="preserve"> </w:t>
      </w:r>
      <w:r>
        <w:t xml:space="preserve">KE-CE-2023-001</w:t>
      </w:r>
    </w:p>
    <w:p>
      <w:pPr>
        <w:pStyle w:val="BodyText"/>
      </w:pPr>
      <w:r>
        <w:rPr>
          <w:bCs/>
          <w:b/>
        </w:rPr>
        <w:t xml:space="preserve">Location:</w:t>
      </w:r>
      <w:r>
        <w:t xml:space="preserve"> </w:t>
      </w:r>
      <w:r>
        <w:t xml:space="preserve">Kuwait City, Kuwait</w:t>
      </w:r>
    </w:p>
    <w:p>
      <w:pPr>
        <w:pStyle w:val="BodyText"/>
      </w:pPr>
      <w:r>
        <w:rPr>
          <w:bCs/>
          <w:b/>
        </w:rPr>
        <w:t xml:space="preserve">Discipline:</w:t>
      </w:r>
      <w:r>
        <w:t xml:space="preserve"> </w:t>
      </w:r>
      <w:r>
        <w:t xml:space="preserve">Civil Engineering</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a comprehensive geotechnical and structural assessment of a proposed high-rise infrastructure project in Kuwait City. The primary objective is to evaluate the soil stability, load-bearing capacity, and environmental resilience of the site, ensuring compliance with the rigorous standards set by the Kuwait Ministry of Public Works (MPW). As a Civil Engineer operating in this region, it is imperative to address the unique challenges posed by the local environment, including high salinity, extreme temperatures, and specific soil characteristics.</w:t>
      </w:r>
    </w:p>
    <w:p>
      <w:pPr>
        <w:pStyle w:val="BodyText"/>
      </w:pPr>
      <w:r>
        <w:t xml:space="preserve">The protocol aims to gather empirical data that will inform the foundation design, material selection, and structural integrity measures necessary for long-term durability in the Kuwaiti context.</w:t>
      </w:r>
    </w:p>
    <w:bookmarkEnd w:id="21"/>
    <w:bookmarkStart w:id="22" w:name="X339bd335e519af5305ea4eb0edaa3111e4dc38f"/>
    <w:p>
      <w:pPr>
        <w:pStyle w:val="Heading2"/>
      </w:pPr>
      <w:r>
        <w:t xml:space="preserve">2. Site Context and Environmental Considerations</w:t>
      </w:r>
    </w:p>
    <w:p>
      <w:pPr>
        <w:pStyle w:val="FirstParagraph"/>
      </w:pPr>
      <w:r>
        <w:t xml:space="preserve">The experimental site is located within the urban boundaries of Kuwait City. The region is characterized by a hot desert climate, with summer temperatures frequently exceeding 45°C (113°F). These thermal conditions can significantly affect material properties and construction processes. Furthermore, the proximity to the Persian Gulf introduces high levels of chloride ions in the air and soil, which poses a severe risk of corrosion to reinforced concrete structures.</w:t>
      </w:r>
    </w:p>
    <w:p>
      <w:pPr>
        <w:pStyle w:val="BodyText"/>
      </w:pPr>
      <w:r>
        <w:t xml:space="preserve">The soil profile in Kuwait City typically consists of loose to medium-dense sands, clayey silts, and occasional layers of gravel. Some areas may contain expansive clays or gypsum, which can lead to differential settlement if not properly managed. This protocol specifically targets these geological variables to ensure the safety and stability of the proposed structure.</w:t>
      </w:r>
    </w:p>
    <w:bookmarkEnd w:id="22"/>
    <w:bookmarkStart w:id="23" w:name="scope-of-work"/>
    <w:p>
      <w:pPr>
        <w:pStyle w:val="Heading2"/>
      </w:pPr>
      <w:r>
        <w:t xml:space="preserve">3. Scope of Work</w:t>
      </w:r>
    </w:p>
    <w:p>
      <w:pPr>
        <w:pStyle w:val="FirstParagraph"/>
      </w:pPr>
      <w:r>
        <w:t xml:space="preserve">The scope of this experiment includes the following key activities:</w:t>
      </w:r>
    </w:p>
    <w:p>
      <w:pPr>
        <w:numPr>
          <w:ilvl w:val="0"/>
          <w:numId w:val="1001"/>
        </w:numPr>
        <w:pStyle w:val="Compact"/>
      </w:pPr>
      <w:r>
        <w:t xml:space="preserve">Geotechnical investigation through borehole drilling and soil sampling.</w:t>
      </w:r>
    </w:p>
    <w:p>
      <w:pPr>
        <w:numPr>
          <w:ilvl w:val="0"/>
          <w:numId w:val="1001"/>
        </w:numPr>
        <w:pStyle w:val="Compact"/>
      </w:pPr>
      <w:r>
        <w:t xml:space="preserve">In-situ testing to determine soil density, shear strength, and permeability.</w:t>
      </w:r>
    </w:p>
    <w:p>
      <w:pPr>
        <w:numPr>
          <w:ilvl w:val="0"/>
          <w:numId w:val="1001"/>
        </w:numPr>
        <w:pStyle w:val="Compact"/>
      </w:pPr>
      <w:r>
        <w:t xml:space="preserve">Laboratory analysis of soil and groundwater samples for chemical composition.</w:t>
      </w:r>
    </w:p>
    <w:p>
      <w:pPr>
        <w:numPr>
          <w:ilvl w:val="0"/>
          <w:numId w:val="1001"/>
        </w:numPr>
        <w:pStyle w:val="Compact"/>
      </w:pPr>
      <w:r>
        <w:t xml:space="preserve">Assessment of groundwater levels and their potential impact on foundation design.</w:t>
      </w:r>
    </w:p>
    <w:p>
      <w:pPr>
        <w:numPr>
          <w:ilvl w:val="0"/>
          <w:numId w:val="1001"/>
        </w:numPr>
        <w:pStyle w:val="Compact"/>
      </w:pPr>
      <w:r>
        <w:t xml:space="preserve">Evaluation of seismic activity risks relevant to the Kuwait City region.</w:t>
      </w:r>
    </w:p>
    <w:bookmarkEnd w:id="23"/>
    <w:bookmarkStart w:id="27" w:name="methodology"/>
    <w:p>
      <w:pPr>
        <w:pStyle w:val="Heading2"/>
      </w:pPr>
      <w:r>
        <w:t xml:space="preserve">4. Methodology</w:t>
      </w:r>
    </w:p>
    <w:bookmarkStart w:id="24" w:name="geotechnical-investigation"/>
    <w:p>
      <w:pPr>
        <w:pStyle w:val="Heading3"/>
      </w:pPr>
      <w:r>
        <w:t xml:space="preserve">4.1 Geotechnical Investigation</w:t>
      </w:r>
    </w:p>
    <w:p>
      <w:pPr>
        <w:pStyle w:val="FirstParagraph"/>
      </w:pPr>
      <w:r>
        <w:t xml:space="preserve">Boreholes will be drilled at strategic locations across the site to a depth of at least 30 meters, or until reaching a competent bearing stratum. Standard Penetration Tests (SPT) will be conducted at regular intervals to assess soil density and strength. Undisturbed soil samples will be collected using thin-walled samplers for laboratory analysis.</w:t>
      </w:r>
    </w:p>
    <w:p>
      <w:pPr>
        <w:pStyle w:val="BodyText"/>
      </w:pPr>
      <w:r>
        <w:t xml:space="preserve">Dynamic Cone Penetrometer (DCP) tests may also be employed for preliminary assessment of shallow soil layers. All drilling operations must adhere to local environmental regulations to minimize disruption to the surrounding urban area.</w:t>
      </w:r>
    </w:p>
    <w:bookmarkEnd w:id="24"/>
    <w:bookmarkStart w:id="25" w:name="in-situ-testing"/>
    <w:p>
      <w:pPr>
        <w:pStyle w:val="Heading3"/>
      </w:pPr>
      <w:r>
        <w:t xml:space="preserve">4.2 In-Situ Testing</w:t>
      </w:r>
    </w:p>
    <w:p>
      <w:pPr>
        <w:pStyle w:val="FirstParagraph"/>
      </w:pPr>
      <w:r>
        <w:t xml:space="preserve">Cone Penetration Tests (CPT) will be performed to obtain continuous profiles of soil resistance and friction. These tests provide valuable data on soil stratification and help identify potential problem layers, such as loose sands or soft clays. Plate load tests will be conducted to determine the bearing capacity of the soil at the proposed foundation level.</w:t>
      </w:r>
    </w:p>
    <w:bookmarkEnd w:id="25"/>
    <w:bookmarkStart w:id="26" w:name="laboratory-analysis"/>
    <w:p>
      <w:pPr>
        <w:pStyle w:val="Heading3"/>
      </w:pPr>
      <w:r>
        <w:t xml:space="preserve">4.3 Laboratory Analysis</w:t>
      </w:r>
    </w:p>
    <w:p>
      <w:pPr>
        <w:pStyle w:val="FirstParagraph"/>
      </w:pPr>
      <w:r>
        <w:t xml:space="preserve">Collected soil samples will undergo a series of laboratory tests, including:</w:t>
      </w:r>
    </w:p>
    <w:p>
      <w:pPr>
        <w:numPr>
          <w:ilvl w:val="0"/>
          <w:numId w:val="1002"/>
        </w:numPr>
        <w:pStyle w:val="Compact"/>
      </w:pPr>
      <w:r>
        <w:t xml:space="preserve">Grain size distribution analysis.</w:t>
      </w:r>
    </w:p>
    <w:p>
      <w:pPr>
        <w:numPr>
          <w:ilvl w:val="0"/>
          <w:numId w:val="1002"/>
        </w:numPr>
        <w:pStyle w:val="Compact"/>
      </w:pPr>
      <w:r>
        <w:t xml:space="preserve">Atterberg limits to determine plasticity.</w:t>
      </w:r>
    </w:p>
    <w:p>
      <w:pPr>
        <w:numPr>
          <w:ilvl w:val="0"/>
          <w:numId w:val="1002"/>
        </w:numPr>
        <w:pStyle w:val="Compact"/>
      </w:pPr>
      <w:r>
        <w:t xml:space="preserve">Compaction tests to establish optimal moisture content and maximum dry density.</w:t>
      </w:r>
    </w:p>
    <w:p>
      <w:pPr>
        <w:numPr>
          <w:ilvl w:val="0"/>
          <w:numId w:val="1002"/>
        </w:numPr>
        <w:pStyle w:val="Compact"/>
      </w:pPr>
      <w:r>
        <w:t xml:space="preserve">Chemical analysis to assess sulfate and chloride content, which are critical for evaluating the corrosivity of the soil and groundwater.</w:t>
      </w:r>
    </w:p>
    <w:p>
      <w:pPr>
        <w:pStyle w:val="FirstParagraph"/>
      </w:pPr>
      <w:r>
        <w:t xml:space="preserve">Groundwater samples will be tested for pH, total dissolved solids (TDS), and aggressive ions that could affect concrete durability.</w:t>
      </w:r>
    </w:p>
    <w:bookmarkEnd w:id="26"/>
    <w:bookmarkEnd w:id="27"/>
    <w:bookmarkStart w:id="28" w:name="safety-and-compliance"/>
    <w:p>
      <w:pPr>
        <w:pStyle w:val="Heading2"/>
      </w:pPr>
      <w:r>
        <w:t xml:space="preserve">5. Safety and Compliance</w:t>
      </w:r>
    </w:p>
    <w:p>
      <w:pPr>
        <w:pStyle w:val="FirstParagraph"/>
      </w:pPr>
      <w:r>
        <w:t xml:space="preserve">All field and laboratory activities must comply with the Occupational Safety and Health Administration (OSHA) standards and local Kuwaiti regulations. Personnel must wear appropriate personal protective equipment (PPE), including hard hats, safety boots, and high-visibility vests. Special attention must be given to heat stress management, given the high ambient temperatures in Kuwait City. Regular hydration breaks and shaded rest areas will be provided.</w:t>
      </w:r>
    </w:p>
    <w:p>
      <w:pPr>
        <w:pStyle w:val="BodyText"/>
      </w:pPr>
      <w:r>
        <w:t xml:space="preserve">Environmental compliance is also paramount. Measures must be taken to prevent soil erosion, control dust, and manage waste materials generated during the investigation. Any hazardous materials encountered must be handled and disposed of according to Kuwaiti environmental laws.</w:t>
      </w:r>
    </w:p>
    <w:bookmarkEnd w:id="28"/>
    <w:bookmarkStart w:id="29" w:name="data-analysis-and-reporting"/>
    <w:p>
      <w:pPr>
        <w:pStyle w:val="Heading2"/>
      </w:pPr>
      <w:r>
        <w:t xml:space="preserve">6. Data Analysis and Reporting</w:t>
      </w:r>
    </w:p>
    <w:p>
      <w:pPr>
        <w:pStyle w:val="FirstParagraph"/>
      </w:pPr>
      <w:r>
        <w:t xml:space="preserve">The data collected from the field and laboratory tests will be analyzed to develop a comprehensive geotechnical report. This report will include:</w:t>
      </w:r>
    </w:p>
    <w:p>
      <w:pPr>
        <w:numPr>
          <w:ilvl w:val="0"/>
          <w:numId w:val="1003"/>
        </w:numPr>
        <w:pStyle w:val="Compact"/>
      </w:pPr>
      <w:r>
        <w:t xml:space="preserve">Soil profile and stratigraphy.</w:t>
      </w:r>
    </w:p>
    <w:p>
      <w:pPr>
        <w:numPr>
          <w:ilvl w:val="0"/>
          <w:numId w:val="1003"/>
        </w:numPr>
        <w:pStyle w:val="Compact"/>
      </w:pPr>
      <w:r>
        <w:t xml:space="preserve">Geotechnical parameters such as bearing capacity, settlement potential, and shear strength.</w:t>
      </w:r>
    </w:p>
    <w:p>
      <w:pPr>
        <w:numPr>
          <w:ilvl w:val="0"/>
          <w:numId w:val="1003"/>
        </w:numPr>
        <w:pStyle w:val="Compact"/>
      </w:pPr>
      <w:r>
        <w:t xml:space="preserve">Recommendations for foundation type and design.</w:t>
      </w:r>
    </w:p>
    <w:p>
      <w:pPr>
        <w:numPr>
          <w:ilvl w:val="0"/>
          <w:numId w:val="1003"/>
        </w:numPr>
        <w:pStyle w:val="Compact"/>
      </w:pPr>
      <w:r>
        <w:t xml:space="preserve">Guidelines for construction practices to mitigate risks associated with soil conditions and environmental factors.</w:t>
      </w:r>
    </w:p>
    <w:p>
      <w:pPr>
        <w:pStyle w:val="FirstParagraph"/>
      </w:pPr>
      <w:r>
        <w:t xml:space="preserve">The report will be reviewed by a licensed Civil Engineer in Kuwait to ensure accuracy and compliance with local building codes and standards.</w:t>
      </w:r>
    </w:p>
    <w:bookmarkEnd w:id="29"/>
    <w:bookmarkStart w:id="30" w:name="conclusion"/>
    <w:p>
      <w:pPr>
        <w:pStyle w:val="Heading2"/>
      </w:pPr>
      <w:r>
        <w:t xml:space="preserve">7. Conclusion</w:t>
      </w:r>
    </w:p>
    <w:p>
      <w:pPr>
        <w:pStyle w:val="FirstParagraph"/>
      </w:pPr>
      <w:r>
        <w:t xml:space="preserve">This Experiment Protocol provides a structured approach to conducting a thorough geotechnical and structural assessment in Kuwait City. By adhering to these procedures, the Civil Engineer can ensure that the proposed infrastructure project is designed and constructed to withstand the unique environmental and geological challenges of the region. The data and insights gained from this experiment will be instrumental in achieving a safe, durable, and compliant construction outcome.</w:t>
      </w:r>
    </w:p>
    <w:bookmarkEnd w:id="30"/>
    <w:p>
      <w:pPr>
        <w:pStyle w:val="BodyText"/>
      </w:pPr>
      <w:r>
        <w:rPr>
          <w:bCs/>
          <w:b/>
        </w:rPr>
        <w:t xml:space="preserve">Note:</w:t>
      </w:r>
      <w:r>
        <w:t xml:space="preserve"> </w:t>
      </w:r>
      <w:r>
        <w:t xml:space="preserve">This protocol should be adapted as necessary to meet the specific requirements of each project and any updates to local regulations or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and Structural Assessment in Kuwait City</dc:title>
  <dc:creator/>
  <dc:language>en</dc:language>
  <cp:keywords/>
  <dcterms:created xsi:type="dcterms:W3CDTF">2026-10-10T02:09:55Z</dcterms:created>
  <dcterms:modified xsi:type="dcterms:W3CDTF">2026-10-10T02:09:55Z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