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Analysis</w:t>
      </w:r>
      <w:r>
        <w:t xml:space="preserve"> </w:t>
      </w:r>
      <w:r>
        <w:t xml:space="preserve">for</w:t>
      </w:r>
      <w:r>
        <w:t xml:space="preserve"> </w:t>
      </w:r>
      <w:r>
        <w:t xml:space="preserve">High-Rise</w:t>
      </w:r>
      <w:r>
        <w:t xml:space="preserve"> </w:t>
      </w:r>
      <w:r>
        <w:t xml:space="preserve">Foundations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6fa5a0af7218f4b108acb72d18769af22e24695"/>
    <w:p>
      <w:pPr>
        <w:pStyle w:val="Heading1"/>
      </w:pPr>
      <w:r>
        <w:t xml:space="preserve">Experiment Protocol: Geotechnical Stability Analysis for High-Rise Foundations</w:t>
      </w:r>
    </w:p>
    <w:p>
      <w:pPr>
        <w:pStyle w:val="FirstParagraph"/>
      </w:pPr>
      <w:r>
        <w:rPr>
          <w:bCs/>
          <w:b/>
        </w:rPr>
        <w:t xml:space="preserve">Document ID:</w:t>
      </w:r>
      <w:r>
        <w:t xml:space="preserve"> </w:t>
      </w:r>
      <w:r>
        <w:t xml:space="preserve">KL-GEOTECH-2023-EXP-042</w:t>
      </w:r>
    </w:p>
    <w:p>
      <w:pPr>
        <w:pStyle w:val="BodyText"/>
      </w:pPr>
      <w:r>
        <w:rPr>
          <w:bCs/>
          <w:b/>
        </w:rPr>
        <w:t xml:space="preserve">Location:</w:t>
      </w:r>
      <w:r>
        <w:t xml:space="preserve"> </w:t>
      </w:r>
      <w:r>
        <w:t xml:space="preserve">Malaysia Kuala Lumpur, Federal Territory</w:t>
      </w:r>
    </w:p>
    <w:p>
      <w:pPr>
        <w:pStyle w:val="BodyText"/>
      </w:pPr>
      <w:r>
        <w:rPr>
          <w:bCs/>
          <w:b/>
        </w:rPr>
        <w:t xml:space="preserve">Discipline:</w:t>
      </w:r>
      <w:r>
        <w:t xml:space="preserve"> </w:t>
      </w:r>
      <w:r>
        <w:t xml:space="preserve">Civil Engineer / Geotechnical Engineering</w:t>
      </w:r>
    </w:p>
    <w:p>
      <w:pPr>
        <w:pStyle w:val="BodyText"/>
      </w:pPr>
      <w:r>
        <w:rPr>
          <w:bCs/>
          <w:b/>
        </w:rPr>
        <w:t xml:space="preserve">Date of Issue:</w:t>
      </w:r>
      <w:r>
        <w:t xml:space="preserve"> </w:t>
      </w:r>
      <w:r>
        <w:t xml:space="preserve">October 24, 2023</w:t>
      </w:r>
    </w:p>
    <w:p>
      <w:pPr>
        <w:pStyle w:val="BodyText"/>
      </w:pPr>
      <w:r>
        <w:rPr>
          <w:bCs/>
          <w:b/>
        </w:rPr>
        <w:t xml:space="preserve">Compliance:</w:t>
      </w:r>
      <w:r>
        <w:t xml:space="preserve"> </w:t>
      </w:r>
      <w:r>
        <w:t xml:space="preserve">Department of Buildings and Housing (JKR) Standards &amp; BS 5930:2015</w:t>
      </w:r>
    </w:p>
    <w:bookmarkStart w:id="20" w:name="introduction-and-objective"/>
    <w:p>
      <w:pPr>
        <w:pStyle w:val="Heading2"/>
      </w:pPr>
      <w:r>
        <w:t xml:space="preserve">1.0 Introduction and Objective</w:t>
      </w:r>
    </w:p>
    <w:p>
      <w:pPr>
        <w:pStyle w:val="FirstParagraph"/>
      </w:pPr>
      <w:r>
        <w:t xml:space="preserve">This Experiment Protocol outlines the rigorous methodology required for the</w:t>
      </w:r>
      <w:r>
        <w:t xml:space="preserve"> </w:t>
      </w:r>
      <w:r>
        <w:rPr>
          <w:bCs/>
          <w:b/>
        </w:rPr>
        <w:t xml:space="preserve">Civil Engineer</w:t>
      </w:r>
      <w:r>
        <w:t xml:space="preserve"> </w:t>
      </w:r>
      <w:r>
        <w:t xml:space="preserve">conducting in-situ and laboratory testing for a proposed high-rise development in the dense urban environment of</w:t>
      </w:r>
      <w:r>
        <w:t xml:space="preserve"> </w:t>
      </w:r>
      <w:r>
        <w:rPr>
          <w:bCs/>
          <w:b/>
        </w:rPr>
        <w:t xml:space="preserve">Malaysia Kuala Lumpur</w:t>
      </w:r>
      <w:r>
        <w:t xml:space="preserve">. The primary objective is to determine the shear strength, compressibility, and permeability characteristics of the residual soil and clay layers typical of the Klang Valley basin.</w:t>
      </w:r>
    </w:p>
    <w:p>
      <w:pPr>
        <w:pStyle w:val="BodyText"/>
      </w:pPr>
      <w:r>
        <w:t xml:space="preserve">Given the rapid urbanization in</w:t>
      </w:r>
      <w:r>
        <w:t xml:space="preserve"> </w:t>
      </w:r>
      <w:r>
        <w:rPr>
          <w:bCs/>
          <w:b/>
        </w:rPr>
        <w:t xml:space="preserve">Malaysia Kuala Lumpur</w:t>
      </w:r>
      <w:r>
        <w:t xml:space="preserve">, where bedrock depth varies significantly, this protocol ensures that foundation designs are safe against settlement and slope failure. The</w:t>
      </w:r>
      <w:r>
        <w:t xml:space="preserve"> </w:t>
      </w:r>
      <w:r>
        <w:rPr>
          <w:bCs/>
          <w:b/>
        </w:rPr>
        <w:t xml:space="preserve">Civil Engineer</w:t>
      </w:r>
      <w:r>
        <w:t xml:space="preserve"> </w:t>
      </w:r>
      <w:r>
        <w:t xml:space="preserve">must adhere strictly to this protocol to mitigate risks associated with the region's tropical climate and complex geological history.</w:t>
      </w:r>
    </w:p>
    <w:bookmarkEnd w:id="20"/>
    <w:bookmarkStart w:id="21" w:name="scope-of-work"/>
    <w:p>
      <w:pPr>
        <w:pStyle w:val="Heading2"/>
      </w:pPr>
      <w:r>
        <w:t xml:space="preserve">2.0 Scope of Work</w:t>
      </w:r>
    </w:p>
    <w:p>
      <w:pPr>
        <w:pStyle w:val="FirstParagraph"/>
      </w:pPr>
      <w:r>
        <w:t xml:space="preserve">This protocol applies to all geotechnical investigations conducted within the project site boundaries in</w:t>
      </w:r>
      <w:r>
        <w:t xml:space="preserve"> </w:t>
      </w:r>
      <w:r>
        <w:rPr>
          <w:bCs/>
          <w:b/>
        </w:rPr>
        <w:t xml:space="preserve">Malaysia Kuala Lumpur</w:t>
      </w:r>
      <w:r>
        <w:t xml:space="preserve">. It covers:</w:t>
      </w:r>
    </w:p>
    <w:p>
      <w:pPr>
        <w:numPr>
          <w:ilvl w:val="0"/>
          <w:numId w:val="1001"/>
        </w:numPr>
        <w:pStyle w:val="Compact"/>
      </w:pPr>
      <w:r>
        <w:t xml:space="preserve">Standard Penetration Tests (SPT) during borehole drilling.</w:t>
      </w:r>
    </w:p>
    <w:p>
      <w:pPr>
        <w:numPr>
          <w:ilvl w:val="0"/>
          <w:numId w:val="1001"/>
        </w:numPr>
        <w:pStyle w:val="Compact"/>
      </w:pPr>
      <w:r>
        <w:t xml:space="preserve">Undisturbed soil sampling using thin-walled tube samplers.</w:t>
      </w:r>
    </w:p>
    <w:p>
      <w:pPr>
        <w:numPr>
          <w:ilvl w:val="0"/>
          <w:numId w:val="1001"/>
        </w:numPr>
        <w:pStyle w:val="Compact"/>
      </w:pPr>
      <w:r>
        <w:t xml:space="preserve">Laboratory consolidation and triaxial shear tests.</w:t>
      </w:r>
    </w:p>
    <w:p>
      <w:pPr>
        <w:numPr>
          <w:ilvl w:val="0"/>
          <w:numId w:val="1001"/>
        </w:numPr>
        <w:pStyle w:val="Compact"/>
      </w:pPr>
      <w:r>
        <w:t xml:space="preserve">Groundwater level monitoring during the monsoon season.</w:t>
      </w:r>
    </w:p>
    <w:p>
      <w:pPr>
        <w:pStyle w:val="FirstParagraph"/>
      </w:pPr>
      <w:r>
        <w:t xml:space="preserve">The</w:t>
      </w:r>
      <w:r>
        <w:t xml:space="preserve"> </w:t>
      </w:r>
      <w:r>
        <w:rPr>
          <w:bCs/>
          <w:b/>
        </w:rPr>
        <w:t xml:space="preserve">Civil Engineer</w:t>
      </w:r>
      <w:r>
        <w:t xml:space="preserve"> </w:t>
      </w:r>
      <w:r>
        <w:t xml:space="preserve">is responsible for supervising the execution of these tests and validating the data against local regulatory requirements set by the Kuala Lumpur City Hall (DBKL).</w:t>
      </w:r>
    </w:p>
    <w:bookmarkEnd w:id="21"/>
    <w:bookmarkStart w:id="22" w:name="safety-and-environmental-regulations"/>
    <w:p>
      <w:pPr>
        <w:pStyle w:val="Heading2"/>
      </w:pPr>
      <w:r>
        <w:t xml:space="preserve">3.0 Safety and Environmental Regulations</w:t>
      </w:r>
    </w:p>
    <w:p>
      <w:pPr>
        <w:pStyle w:val="FirstParagraph"/>
      </w:pPr>
      <w:r>
        <w:rPr>
          <w:bCs/>
          <w:b/>
        </w:rPr>
        <w:t xml:space="preserve">CRITICAL SAFETY NOTICE:</w:t>
      </w:r>
      <w:r>
        <w:t xml:space="preserve"> </w:t>
      </w:r>
      <w:r>
        <w:t xml:space="preserve">All personnel must comply with the Occupational Safety and Health Act 1994 (OSHA) of Malaysia. Due to the high traffic density in</w:t>
      </w:r>
      <w:r>
        <w:t xml:space="preserve"> </w:t>
      </w:r>
      <w:r>
        <w:rPr>
          <w:bCs/>
          <w:b/>
        </w:rPr>
        <w:t xml:space="preserve">Malaysia Kuala Lumpur</w:t>
      </w:r>
      <w:r>
        <w:t xml:space="preserve">, strict traffic management plans must be implemented around borehole sites.</w:t>
      </w:r>
    </w:p>
    <w:p>
      <w:pPr>
        <w:pStyle w:val="BodyText"/>
      </w:pPr>
      <w:r>
        <w:t xml:space="preserve">The</w:t>
      </w:r>
      <w:r>
        <w:t xml:space="preserve"> </w:t>
      </w:r>
      <w:r>
        <w:rPr>
          <w:bCs/>
          <w:b/>
        </w:rPr>
        <w:t xml:space="preserve">Civil Engineer</w:t>
      </w:r>
      <w:r>
        <w:t xml:space="preserve"> </w:t>
      </w:r>
      <w:r>
        <w:t xml:space="preserve">must ensure that all drilling rigs are stabilized to prevent tipping, especially given the soft alluvial soils often found in the city center. Environmental protection measures must be taken to prevent soil contamination of nearby drainage systems, which are critical for flood management in</w:t>
      </w:r>
      <w:r>
        <w:t xml:space="preserve"> </w:t>
      </w:r>
      <w:r>
        <w:rPr>
          <w:bCs/>
          <w:b/>
        </w:rPr>
        <w:t xml:space="preserve">Malaysia Kuala Lumpur</w:t>
      </w:r>
      <w:r>
        <w:t xml:space="preserve">.</w:t>
      </w:r>
    </w:p>
    <w:bookmarkEnd w:id="22"/>
    <w:bookmarkStart w:id="26" w:name="experimental-methodology"/>
    <w:p>
      <w:pPr>
        <w:pStyle w:val="Heading2"/>
      </w:pPr>
      <w:r>
        <w:t xml:space="preserve">4.0 Experimental Methodology</w:t>
      </w:r>
    </w:p>
    <w:bookmarkStart w:id="23" w:name="site-preparation-and-borehole-drilling"/>
    <w:p>
      <w:pPr>
        <w:pStyle w:val="Heading3"/>
      </w:pPr>
      <w:r>
        <w:t xml:space="preserve">4.1 Site Preparation and Borehole Drilling</w:t>
      </w:r>
    </w:p>
    <w:p>
      <w:pPr>
        <w:pStyle w:val="FirstParagraph"/>
      </w:pPr>
      <w:r>
        <w:t xml:space="preserve">The</w:t>
      </w:r>
      <w:r>
        <w:t xml:space="preserve"> </w:t>
      </w:r>
      <w:r>
        <w:rPr>
          <w:bCs/>
          <w:b/>
        </w:rPr>
        <w:t xml:space="preserve">Civil Engineer</w:t>
      </w:r>
      <w:r>
        <w:t xml:space="preserve"> </w:t>
      </w:r>
      <w:r>
        <w:t xml:space="preserve">shall oversee the drilling of boreholes to a minimum depth of 30 meters or until competent bedrock is encountered, whichever is deeper. In</w:t>
      </w:r>
      <w:r>
        <w:t xml:space="preserve"> </w:t>
      </w:r>
      <w:r>
        <w:rPr>
          <w:bCs/>
          <w:b/>
        </w:rPr>
        <w:t xml:space="preserve">Malaysia Kuala Lumpur</w:t>
      </w:r>
      <w:r>
        <w:t xml:space="preserve">, it is common to encounter thick layers of marine clay; therefore, rotary drilling with mud circulation is recommended to maintain borehole stability.</w:t>
      </w:r>
    </w:p>
    <w:bookmarkEnd w:id="23"/>
    <w:bookmarkStart w:id="24" w:name="Xb5997d864ec51d6867b830b28d921c9facfff43"/>
    <w:p>
      <w:pPr>
        <w:pStyle w:val="Heading3"/>
      </w:pPr>
      <w:r>
        <w:t xml:space="preserve">4.2 In-Situ Testing: Standard Penetration Test (SPT)</w:t>
      </w:r>
    </w:p>
    <w:p>
      <w:pPr>
        <w:pStyle w:val="FirstParagraph"/>
      </w:pPr>
      <w:r>
        <w:t xml:space="preserve">SPTs shall be conducted at every 1.5-meter interval. The</w:t>
      </w:r>
      <w:r>
        <w:t xml:space="preserve"> </w:t>
      </w:r>
      <w:r>
        <w:rPr>
          <w:bCs/>
          <w:b/>
        </w:rPr>
        <w:t xml:space="preserve">Civil Engineer</w:t>
      </w:r>
      <w:r>
        <w:t xml:space="preserve"> </w:t>
      </w:r>
      <w:r>
        <w:t xml:space="preserve">must record the N-values accurately. These values are crucial for estimating the bearing capacity of the soil. Special attention must be paid to corrections for overburden pressure, as the soil profile in</w:t>
      </w:r>
      <w:r>
        <w:t xml:space="preserve"> </w:t>
      </w:r>
      <w:r>
        <w:rPr>
          <w:bCs/>
          <w:b/>
        </w:rPr>
        <w:t xml:space="preserve">Malaysia Kuala Lumpur</w:t>
      </w:r>
      <w:r>
        <w:t xml:space="preserve"> </w:t>
      </w:r>
      <w:r>
        <w:t xml:space="preserve">can be highly variable.</w:t>
      </w:r>
    </w:p>
    <w:bookmarkEnd w:id="24"/>
    <w:bookmarkStart w:id="25" w:name="soil-sampling"/>
    <w:p>
      <w:pPr>
        <w:pStyle w:val="Heading3"/>
      </w:pPr>
      <w:r>
        <w:t xml:space="preserve">4.3 Soil Sampling</w:t>
      </w:r>
    </w:p>
    <w:p>
      <w:pPr>
        <w:pStyle w:val="FirstParagraph"/>
      </w:pPr>
      <w:r>
        <w:t xml:space="preserve">Undisturbed samples must be collected from depths where foundation elements are proposed. Samples should be sealed immediately in wax to prevent moisture loss, a critical factor in the hot and humid climate of</w:t>
      </w:r>
      <w:r>
        <w:t xml:space="preserve"> </w:t>
      </w:r>
      <w:r>
        <w:rPr>
          <w:bCs/>
          <w:b/>
        </w:rPr>
        <w:t xml:space="preserve">Malaysia Kuala Lumpur</w:t>
      </w:r>
      <w:r>
        <w:t xml:space="preserve">. The</w:t>
      </w:r>
      <w:r>
        <w:t xml:space="preserve"> </w:t>
      </w:r>
      <w:r>
        <w:rPr>
          <w:bCs/>
          <w:b/>
        </w:rPr>
        <w:t xml:space="preserve">Civil Engineer</w:t>
      </w:r>
      <w:r>
        <w:t xml:space="preserve"> </w:t>
      </w:r>
      <w:r>
        <w:t xml:space="preserve">must label each sample with precise depth and location coordinates.</w:t>
      </w:r>
    </w:p>
    <w:bookmarkEnd w:id="25"/>
    <w:bookmarkEnd w:id="26"/>
    <w:bookmarkStart w:id="27" w:name="laboratory-testing-procedures"/>
    <w:p>
      <w:pPr>
        <w:pStyle w:val="Heading2"/>
      </w:pPr>
      <w:r>
        <w:t xml:space="preserve">5.0 Laboratory Testing Procedures</w:t>
      </w:r>
    </w:p>
    <w:p>
      <w:pPr>
        <w:pStyle w:val="FirstParagraph"/>
      </w:pPr>
      <w:r>
        <w:t xml:space="preserve">Samples will be transported to an accredited laboratory in the Klang Valley. The</w:t>
      </w:r>
      <w:r>
        <w:t xml:space="preserve"> </w:t>
      </w:r>
      <w:r>
        <w:rPr>
          <w:bCs/>
          <w:b/>
        </w:rPr>
        <w:t xml:space="preserve">Civil Engineer</w:t>
      </w:r>
      <w:r>
        <w:t xml:space="preserve"> </w:t>
      </w:r>
      <w:r>
        <w:t xml:space="preserve">must ensure the following tests are performed: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Type</w:t>
            </w:r>
          </w:p>
        </w:tc>
        <w:tc>
          <w:tcPr/>
          <w:p>
            <w:pPr>
              <w:pStyle w:val="Compact"/>
              <w:jc w:val="left"/>
            </w:pPr>
            <w:r>
              <w:t xml:space="preserve">Purpose</w:t>
            </w:r>
          </w:p>
        </w:tc>
        <w:tc>
          <w:tcPr/>
          <w:p>
            <w:pPr>
              <w:pStyle w:val="Compact"/>
              <w:jc w:val="left"/>
            </w:pPr>
            <w:r>
              <w:t xml:space="preserve">Standard Reference</w:t>
            </w:r>
          </w:p>
        </w:tc>
      </w:tr>
      <w:tr>
        <w:tc>
          <w:tcPr/>
          <w:p>
            <w:pPr>
              <w:pStyle w:val="Compact"/>
              <w:jc w:val="left"/>
            </w:pPr>
            <w:r>
              <w:t xml:space="preserve">Atterberg Limits</w:t>
            </w:r>
          </w:p>
        </w:tc>
        <w:tc>
          <w:tcPr/>
          <w:p>
            <w:pPr>
              <w:pStyle w:val="Compact"/>
              <w:jc w:val="left"/>
            </w:pPr>
            <w:r>
              <w:t xml:space="preserve">Determine soil plasticity and classification.</w:t>
            </w:r>
          </w:p>
        </w:tc>
        <w:tc>
          <w:tcPr/>
          <w:p>
            <w:pPr>
              <w:pStyle w:val="Compact"/>
              <w:jc w:val="left"/>
            </w:pPr>
            <w:r>
              <w:t xml:space="preserve">BS 1377-2:1990</w:t>
            </w:r>
          </w:p>
        </w:tc>
      </w:tr>
      <w:tr>
        <w:tc>
          <w:tcPr/>
          <w:p>
            <w:pPr>
              <w:pStyle w:val="Compact"/>
              <w:jc w:val="left"/>
            </w:pPr>
            <w:r>
              <w:t xml:space="preserve">Consolidation Test</w:t>
            </w:r>
          </w:p>
        </w:tc>
        <w:tc>
          <w:tcPr/>
          <w:p>
            <w:pPr>
              <w:pStyle w:val="Compact"/>
              <w:jc w:val="left"/>
            </w:pPr>
            <w:r>
              <w:t xml:space="preserve">Assess settlement potential under load.</w:t>
            </w:r>
          </w:p>
        </w:tc>
        <w:tc>
          <w:tcPr/>
          <w:p>
            <w:pPr>
              <w:pStyle w:val="Compact"/>
              <w:jc w:val="left"/>
            </w:pPr>
            <w:r>
              <w:t xml:space="preserve">BS 1377-5:1990</w:t>
            </w:r>
          </w:p>
        </w:tc>
      </w:tr>
      <w:tr>
        <w:tc>
          <w:tcPr/>
          <w:p>
            <w:pPr>
              <w:pStyle w:val="Compact"/>
              <w:jc w:val="left"/>
            </w:pPr>
            <w:r>
              <w:t xml:space="preserve">Triaxial Shear Test (CU)</w:t>
            </w:r>
          </w:p>
        </w:tc>
        <w:tc>
          <w:tcPr/>
          <w:p>
            <w:pPr>
              <w:pStyle w:val="Compact"/>
              <w:jc w:val="left"/>
            </w:pPr>
            <w:r>
              <w:t xml:space="preserve">Determine undrained shear strength.</w:t>
            </w:r>
          </w:p>
        </w:tc>
        <w:tc>
          <w:tcPr/>
          <w:p>
            <w:pPr>
              <w:pStyle w:val="Compact"/>
              <w:jc w:val="left"/>
            </w:pPr>
            <w:r>
              <w:t xml:space="preserve">BS 1377-7:1990</w:t>
            </w:r>
          </w:p>
        </w:tc>
      </w:tr>
      <w:tr>
        <w:tc>
          <w:tcPr/>
          <w:p>
            <w:pPr>
              <w:pStyle w:val="Compact"/>
              <w:jc w:val="left"/>
            </w:pPr>
            <w:r>
              <w:t xml:space="preserve">Moisture Content</w:t>
            </w:r>
          </w:p>
        </w:tc>
        <w:tc>
          <w:tcPr/>
          <w:p>
            <w:pPr>
              <w:pStyle w:val="Compact"/>
              <w:jc w:val="left"/>
            </w:pPr>
            <w:r>
              <w:t xml:space="preserve">Verify field density and saturation levels.</w:t>
            </w:r>
          </w:p>
        </w:tc>
        <w:tc>
          <w:tcPr/>
          <w:p>
            <w:pPr>
              <w:pStyle w:val="Compact"/>
              <w:jc w:val="left"/>
            </w:pPr>
            <w:r>
              <w:t xml:space="preserve">BS 1377-2:1990</w:t>
            </w:r>
          </w:p>
        </w:tc>
      </w:tr>
    </w:tbl>
    <w:bookmarkEnd w:id="27"/>
    <w:bookmarkStart w:id="28" w:name="data-analysis-and-reporting"/>
    <w:p>
      <w:pPr>
        <w:pStyle w:val="Heading2"/>
      </w:pPr>
      <w:r>
        <w:t xml:space="preserve">6.0 Data Analysis and Reporting</w:t>
      </w:r>
    </w:p>
    <w:p>
      <w:pPr>
        <w:pStyle w:val="FirstParagraph"/>
      </w:pPr>
      <w:r>
        <w:t xml:space="preserve">The</w:t>
      </w:r>
      <w:r>
        <w:t xml:space="preserve"> </w:t>
      </w:r>
      <w:r>
        <w:rPr>
          <w:bCs/>
          <w:b/>
        </w:rPr>
        <w:t xml:space="preserve">Civil Engineer</w:t>
      </w:r>
      <w:r>
        <w:t xml:space="preserve"> </w:t>
      </w:r>
      <w:r>
        <w:t xml:space="preserve">is required to compile a comprehensive Geotechnical Investigation Report. This report must analyze the correlation between the experimental data and the specific geological conditions of</w:t>
      </w:r>
      <w:r>
        <w:t xml:space="preserve"> </w:t>
      </w:r>
      <w:r>
        <w:rPr>
          <w:bCs/>
          <w:b/>
        </w:rPr>
        <w:t xml:space="preserve">Malaysia Kuala Lumpur</w:t>
      </w:r>
      <w:r>
        <w:t xml:space="preserve">.</w:t>
      </w:r>
    </w:p>
    <w:p>
      <w:pPr>
        <w:pStyle w:val="BodyText"/>
      </w:pPr>
      <w:r>
        <w:t xml:space="preserve">Key deliverables include:</w:t>
      </w:r>
    </w:p>
    <w:p>
      <w:pPr>
        <w:numPr>
          <w:ilvl w:val="0"/>
          <w:numId w:val="1002"/>
        </w:numPr>
        <w:pStyle w:val="Compact"/>
      </w:pPr>
      <w:r>
        <w:t xml:space="preserve">Soil profile logs indicating stratigraphy.</w:t>
      </w:r>
    </w:p>
    <w:p>
      <w:pPr>
        <w:numPr>
          <w:ilvl w:val="0"/>
          <w:numId w:val="1002"/>
        </w:numPr>
        <w:pStyle w:val="Compact"/>
      </w:pPr>
      <w:r>
        <w:t xml:space="preserve">Recommendations for foundation type (e.g., piled raft vs. friction piles).</w:t>
      </w:r>
    </w:p>
    <w:p>
      <w:pPr>
        <w:numPr>
          <w:ilvl w:val="0"/>
          <w:numId w:val="1002"/>
        </w:numPr>
        <w:pStyle w:val="Compact"/>
      </w:pPr>
      <w:r>
        <w:t xml:space="preserve">Settlement predictions based on consolidation data.</w:t>
      </w:r>
    </w:p>
    <w:p>
      <w:pPr>
        <w:numPr>
          <w:ilvl w:val="0"/>
          <w:numId w:val="1002"/>
        </w:numPr>
        <w:pStyle w:val="Compact"/>
      </w:pPr>
      <w:r>
        <w:t xml:space="preserve">Groundwater management strategies considering the high water table in</w:t>
      </w:r>
      <w:r>
        <w:t xml:space="preserve"> </w:t>
      </w:r>
      <w:r>
        <w:rPr>
          <w:bCs/>
          <w:b/>
        </w:rPr>
        <w:t xml:space="preserve">Malaysia Kuala Lumpur</w:t>
      </w:r>
      <w:r>
        <w:t xml:space="preserve">.</w:t>
      </w:r>
    </w:p>
    <w:p>
      <w:pPr>
        <w:pStyle w:val="FirstParagraph"/>
      </w:pPr>
      <w:r>
        <w:t xml:space="preserve">The report must be signed and stamped by a Professional Engineer (Ir.) registered with the Board of Engineers Malaysia (BEM) to be legally valid for construction permits.</w:t>
      </w:r>
    </w:p>
    <w:bookmarkEnd w:id="28"/>
    <w:bookmarkStart w:id="29" w:name="quality-assurance-and-control"/>
    <w:p>
      <w:pPr>
        <w:pStyle w:val="Heading2"/>
      </w:pPr>
      <w:r>
        <w:t xml:space="preserve">7.0 Quality Assurance and Control</w:t>
      </w:r>
    </w:p>
    <w:p>
      <w:pPr>
        <w:pStyle w:val="FirstParagraph"/>
      </w:pPr>
      <w:r>
        <w:t xml:space="preserve">To ensure the integrity of this Experiment Protocol, the</w:t>
      </w:r>
      <w:r>
        <w:t xml:space="preserve"> </w:t>
      </w:r>
      <w:r>
        <w:rPr>
          <w:bCs/>
          <w:b/>
        </w:rPr>
        <w:t xml:space="preserve">Civil Engineer</w:t>
      </w:r>
      <w:r>
        <w:t xml:space="preserve"> </w:t>
      </w:r>
      <w:r>
        <w:t xml:space="preserve">must implement a Quality Assurance (QA) plan. This includes regular calibration of all testing equipment and random verification of field data. Any anomalies in the soil behavior, such as unexpected voids or karst features common in parts of</w:t>
      </w:r>
      <w:r>
        <w:t xml:space="preserve"> </w:t>
      </w:r>
      <w:r>
        <w:rPr>
          <w:bCs/>
          <w:b/>
        </w:rPr>
        <w:t xml:space="preserve">Malaysia Kuala Lumpur</w:t>
      </w:r>
      <w:r>
        <w:t xml:space="preserve">, must be immediately reported and investigated further.</w:t>
      </w:r>
    </w:p>
    <w:bookmarkEnd w:id="29"/>
    <w:bookmarkStart w:id="30" w:name="conclusion"/>
    <w:p>
      <w:pPr>
        <w:pStyle w:val="Heading2"/>
      </w:pPr>
      <w:r>
        <w:t xml:space="preserve">8.0 Conclusion</w:t>
      </w:r>
    </w:p>
    <w:p>
      <w:pPr>
        <w:pStyle w:val="FirstParagraph"/>
      </w:pPr>
      <w:r>
        <w:t xml:space="preserve">Adherence to this Experiment Protocol is mandatory for ensuring the structural integrity and safety of civil engineering projects in</w:t>
      </w:r>
      <w:r>
        <w:t xml:space="preserve"> </w:t>
      </w:r>
      <w:r>
        <w:rPr>
          <w:bCs/>
          <w:b/>
        </w:rPr>
        <w:t xml:space="preserve">Malaysia Kuala Lumpur</w:t>
      </w:r>
      <w:r>
        <w:t xml:space="preserve">. The</w:t>
      </w:r>
      <w:r>
        <w:t xml:space="preserve"> </w:t>
      </w:r>
      <w:r>
        <w:rPr>
          <w:bCs/>
          <w:b/>
        </w:rPr>
        <w:t xml:space="preserve">Civil Engineer</w:t>
      </w:r>
      <w:r>
        <w:t xml:space="preserve"> </w:t>
      </w:r>
      <w:r>
        <w:t xml:space="preserve">plays a pivotal role in interpreting these experimental results to design foundations that can withstand the unique geotechnical challenges of the region. Failure to follow this protocol may result in structural failure, legal liability, and endangerment of public safety.</w:t>
      </w:r>
    </w:p>
    <w:p>
      <w:pPr>
        <w:pStyle w:val="BodyText"/>
      </w:pPr>
      <w:r>
        <w:rPr>
          <w:bCs/>
          <w:b/>
        </w:rPr>
        <w:t xml:space="preserve">Prepared By:</w:t>
      </w:r>
    </w:p>
    <w:p>
      <w:pPr>
        <w:pStyle w:val="BodyText"/>
      </w:pPr>
      <w:r>
        <w:t xml:space="preserve">Lead Geotechnical Engineer</w:t>
      </w:r>
    </w:p>
    <w:p>
      <w:pPr>
        <w:pStyle w:val="BodyText"/>
      </w:pPr>
      <w:r>
        <w:t xml:space="preserve">Date: __________________</w:t>
      </w:r>
    </w:p>
    <w:p>
      <w:pPr>
        <w:pStyle w:val="BodyText"/>
      </w:pPr>
      <w:r>
        <w:rPr>
          <w:bCs/>
          <w:b/>
        </w:rPr>
        <w:t xml:space="preserve">Approved By:</w:t>
      </w:r>
    </w:p>
    <w:p>
      <w:pPr>
        <w:pStyle w:val="BodyText"/>
      </w:pPr>
      <w:r>
        <w:t xml:space="preserve">Project Director (Civil Engineer)</w:t>
      </w:r>
    </w:p>
    <w:p>
      <w:pPr>
        <w:pStyle w:val="BodyText"/>
      </w:pPr>
      <w:r>
        <w:t xml:space="preserve">Date: 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Analysis for High-Rise Foundations in Malaysia Kuala Lumpur</dc:title>
  <dc:creator/>
  <dc:language>en</dc:language>
  <cp:keywords/>
  <dcterms:created xsi:type="dcterms:W3CDTF">2026-10-10T03:02:20Z</dcterms:created>
  <dcterms:modified xsi:type="dcterms:W3CDTF">2026-10-10T03:02:20Z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