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Resilience</w:t>
      </w:r>
      <w:r>
        <w:t xml:space="preserve"> </w:t>
      </w:r>
      <w:r>
        <w:t xml:space="preserve">of</w:t>
      </w:r>
      <w:r>
        <w:t xml:space="preserve"> </w:t>
      </w:r>
      <w:r>
        <w:t xml:space="preserve">Reinforced</w:t>
      </w:r>
      <w:r>
        <w:t xml:space="preserve"> </w:t>
      </w:r>
      <w:r>
        <w:t xml:space="preserve">Concrete</w:t>
      </w:r>
      <w:r>
        <w:t xml:space="preserve"> </w:t>
      </w:r>
      <w:r>
        <w:t xml:space="preserve">in</w:t>
      </w:r>
      <w:r>
        <w:t xml:space="preserve"> </w:t>
      </w:r>
      <w:r>
        <w:t xml:space="preserve">Lima,</w:t>
      </w:r>
      <w:r>
        <w:t xml:space="preserve"> </w:t>
      </w:r>
      <w:r>
        <w:t xml:space="preserve">Peru</w:t>
      </w:r>
    </w:p>
    <w:bookmarkStart w:id="32" w:name="Xde14db6ced812da68e7d294fe450c6f54d3dcb9"/>
    <w:p>
      <w:pPr>
        <w:pStyle w:val="Heading1"/>
      </w:pPr>
      <w:r>
        <w:t xml:space="preserve">Experiment Protocol: Seismic Resilience of Reinforced Concrete in Lima, Peru</w:t>
      </w:r>
    </w:p>
    <w:p>
      <w:pPr>
        <w:pStyle w:val="FirstParagraph"/>
      </w:pPr>
      <w:r>
        <w:rPr>
          <w:bCs/>
          <w:b/>
        </w:rPr>
        <w:t xml:space="preserve">Document ID:</w:t>
      </w:r>
      <w:r>
        <w:t xml:space="preserve"> </w:t>
      </w:r>
      <w:r>
        <w:t xml:space="preserve">EP-LIMA-CE-2024-001</w:t>
      </w:r>
    </w:p>
    <w:p>
      <w:pPr>
        <w:pStyle w:val="BodyText"/>
      </w:pPr>
      <w:r>
        <w:rPr>
          <w:bCs/>
          <w:b/>
        </w:rPr>
        <w:t xml:space="preserve">Location:</w:t>
      </w:r>
      <w:r>
        <w:t xml:space="preserve"> </w:t>
      </w:r>
      <w:r>
        <w:t xml:space="preserve">Lima, Peru (Callao District Testing Facility)</w:t>
      </w:r>
    </w:p>
    <w:p>
      <w:pPr>
        <w:pStyle w:val="BodyText"/>
      </w:pPr>
      <w:r>
        <w:rPr>
          <w:bCs/>
          <w:b/>
        </w:rPr>
        <w:t xml:space="preserve">Discipline:</w:t>
      </w:r>
      <w:r>
        <w:t xml:space="preserve"> </w:t>
      </w:r>
      <w:r>
        <w:t xml:space="preserve">Civil Engineering / Structural Mechanics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rigorous testing procedures designed to evaluate the structural integrity and seismic resilience of reinforced concrete columns subjected to cyclic lateral loading. The study is specifically tailored to the unique geotechnical and seismic conditions of</w:t>
      </w:r>
      <w:r>
        <w:t xml:space="preserve"> </w:t>
      </w:r>
      <w:r>
        <w:rPr>
          <w:bCs/>
          <w:b/>
        </w:rPr>
        <w:t xml:space="preserve">Peru Lima</w:t>
      </w:r>
      <w:r>
        <w:t xml:space="preserve">, a region characterized by high seismic activity due to its proximity to the Nazca and South American tectonic plate boundaries.</w:t>
      </w:r>
    </w:p>
    <w:p>
      <w:pPr>
        <w:pStyle w:val="BodyText"/>
      </w:pPr>
      <w:r>
        <w:t xml:space="preserve">As a</w:t>
      </w:r>
      <w:r>
        <w:t xml:space="preserve"> </w:t>
      </w:r>
      <w:r>
        <w:rPr>
          <w:bCs/>
          <w:b/>
        </w:rPr>
        <w:t xml:space="preserve">Civil Engineer</w:t>
      </w:r>
      <w:r>
        <w:t xml:space="preserve"> </w:t>
      </w:r>
      <w:r>
        <w:t xml:space="preserve">operating within the regulatory framework of Peru, it is imperative to ensure that construction materials and methodologies comply with the National Building Regulations (Reglamento Nacional de Edificaciones - RNE). This protocol aims to validate the performance of concrete mixes utilizing local aggregates from the Lima region, ensuring they meet the ductility requirements necessary to withstand major seismic events.</w:t>
      </w:r>
    </w:p>
    <w:bookmarkEnd w:id="20"/>
    <w:bookmarkStart w:id="21" w:name="objectives"/>
    <w:p>
      <w:pPr>
        <w:pStyle w:val="Heading2"/>
      </w:pPr>
      <w:r>
        <w:t xml:space="preserve">2. Objectives</w:t>
      </w:r>
    </w:p>
    <w:p>
      <w:pPr>
        <w:pStyle w:val="FirstParagraph"/>
      </w:pPr>
      <w:r>
        <w:t xml:space="preserve">The primary objective of this experiment is to quantify the hysteretic behavior of reinforced concrete specimens under simulated earthquake loads. Specific goals include:</w:t>
      </w:r>
    </w:p>
    <w:p>
      <w:pPr>
        <w:numPr>
          <w:ilvl w:val="0"/>
          <w:numId w:val="1001"/>
        </w:numPr>
        <w:pStyle w:val="Compact"/>
      </w:pPr>
      <w:r>
        <w:t xml:space="preserve">To determine the ultimate load capacity and displacement ductility of the specimens.</w:t>
      </w:r>
    </w:p>
    <w:p>
      <w:pPr>
        <w:numPr>
          <w:ilvl w:val="0"/>
          <w:numId w:val="1001"/>
        </w:numPr>
        <w:pStyle w:val="Compact"/>
      </w:pPr>
      <w:r>
        <w:t xml:space="preserve">To analyze the energy dissipation capabilities of the concrete mix under cyclic loading.</w:t>
      </w:r>
    </w:p>
    <w:p>
      <w:pPr>
        <w:numPr>
          <w:ilvl w:val="0"/>
          <w:numId w:val="1001"/>
        </w:numPr>
        <w:pStyle w:val="Compact"/>
      </w:pPr>
      <w:r>
        <w:t xml:space="preserve">To observe crack propagation patterns and failure modes relevant to the seismic zones of Lima.</w:t>
      </w:r>
    </w:p>
    <w:p>
      <w:pPr>
        <w:numPr>
          <w:ilvl w:val="0"/>
          <w:numId w:val="1001"/>
        </w:numPr>
        <w:pStyle w:val="Compact"/>
      </w:pPr>
      <w:r>
        <w:t xml:space="preserve">To verify compliance with the E.060 Structural Concrete section of the RNE.</w:t>
      </w:r>
    </w:p>
    <w:bookmarkEnd w:id="21"/>
    <w:bookmarkStart w:id="24" w:name="scope-and-methodology"/>
    <w:p>
      <w:pPr>
        <w:pStyle w:val="Heading2"/>
      </w:pPr>
      <w:r>
        <w:t xml:space="preserve">3. Scope and Methodology</w:t>
      </w:r>
    </w:p>
    <w:p>
      <w:pPr>
        <w:pStyle w:val="FirstParagraph"/>
      </w:pPr>
      <w:r>
        <w:t xml:space="preserve">This protocol applies to the testing of six (6) reinforced concrete column specimens. The testing will be conducted at a certified structural laboratory in the Callao district, adjacent to Lima. The methodology follows the guidelines established by ACI 374.1R-05 and adapted for local Peruvian standards.</w:t>
      </w:r>
    </w:p>
    <w:bookmarkStart w:id="22" w:name="materials"/>
    <w:p>
      <w:pPr>
        <w:pStyle w:val="Heading3"/>
      </w:pPr>
      <w:r>
        <w:t xml:space="preserve">3.1 Materials</w:t>
      </w:r>
    </w:p>
    <w:p>
      <w:pPr>
        <w:pStyle w:val="FirstParagraph"/>
      </w:pPr>
      <w:r>
        <w:t xml:space="preserve">All materials must be sourced from approved suppliers within the Lima metropolitan area to ensure representativeness.</w:t>
      </w:r>
    </w:p>
    <w:p>
      <w:pPr>
        <w:numPr>
          <w:ilvl w:val="0"/>
          <w:numId w:val="1002"/>
        </w:numPr>
        <w:pStyle w:val="Compact"/>
      </w:pPr>
      <w:r>
        <w:rPr>
          <w:bCs/>
          <w:b/>
        </w:rPr>
        <w:t xml:space="preserve">Cement:</w:t>
      </w:r>
      <w:r>
        <w:t xml:space="preserve"> </w:t>
      </w:r>
      <w:r>
        <w:t xml:space="preserve">Portland Type I, complying with NTP 334.001.</w:t>
      </w:r>
    </w:p>
    <w:p>
      <w:pPr>
        <w:numPr>
          <w:ilvl w:val="0"/>
          <w:numId w:val="1002"/>
        </w:numPr>
        <w:pStyle w:val="Compact"/>
      </w:pPr>
      <w:r>
        <w:rPr>
          <w:bCs/>
          <w:b/>
        </w:rPr>
        <w:t xml:space="preserve">Aggregates:</w:t>
      </w:r>
      <w:r>
        <w:t xml:space="preserve"> </w:t>
      </w:r>
      <w:r>
        <w:t xml:space="preserve">Fine and coarse aggregates from the Rímac River basin, washed and graded.</w:t>
      </w:r>
    </w:p>
    <w:p>
      <w:pPr>
        <w:numPr>
          <w:ilvl w:val="0"/>
          <w:numId w:val="1002"/>
        </w:numPr>
        <w:pStyle w:val="Compact"/>
      </w:pPr>
      <w:r>
        <w:rPr>
          <w:bCs/>
          <w:b/>
        </w:rPr>
        <w:t xml:space="preserve">Reinforcement:</w:t>
      </w:r>
      <w:r>
        <w:t xml:space="preserve"> </w:t>
      </w:r>
      <w:r>
        <w:t xml:space="preserve">Grade 60 steel bars (500 MPa yield strength), conforming to NTP 339.001.</w:t>
      </w:r>
    </w:p>
    <w:p>
      <w:pPr>
        <w:numPr>
          <w:ilvl w:val="0"/>
          <w:numId w:val="1002"/>
        </w:numPr>
        <w:pStyle w:val="Compact"/>
      </w:pPr>
      <w:r>
        <w:rPr>
          <w:bCs/>
          <w:b/>
        </w:rPr>
        <w:t xml:space="preserve">Water:</w:t>
      </w:r>
      <w:r>
        <w:t xml:space="preserve"> </w:t>
      </w:r>
      <w:r>
        <w:t xml:space="preserve">Potable water from the SEDAPAL network.</w:t>
      </w:r>
    </w:p>
    <w:bookmarkEnd w:id="22"/>
    <w:bookmarkStart w:id="23" w:name="specimen-design"/>
    <w:p>
      <w:pPr>
        <w:pStyle w:val="Heading3"/>
      </w:pPr>
      <w:r>
        <w:t xml:space="preserve">3.2 Specimen Design</w:t>
      </w:r>
    </w:p>
    <w:p>
      <w:pPr>
        <w:pStyle w:val="FirstParagraph"/>
      </w:pPr>
      <w:r>
        <w:t xml:space="preserve">Each specimen will be a prismatic column with dimensions of 300mm x 300mm x 1200mm. The reinforcement ratio will be set at 2.5%, utilizing transverse confinement stirrups spaced at 75mm in the plastic hinge region to simulate modern ductile detailing required in Lima's high-risk zones.</w:t>
      </w:r>
    </w:p>
    <w:bookmarkEnd w:id="23"/>
    <w:bookmarkEnd w:id="24"/>
    <w:bookmarkStart w:id="28" w:name="experimental-procedure"/>
    <w:p>
      <w:pPr>
        <w:pStyle w:val="Heading2"/>
      </w:pPr>
      <w:r>
        <w:t xml:space="preserve">4. Experimental Procedure</w:t>
      </w:r>
    </w:p>
    <w:p>
      <w:pPr>
        <w:pStyle w:val="FirstParagraph"/>
      </w:pPr>
      <w:r>
        <w:t xml:space="preserve">The experiment will be executed in three distinct phases: Preparation, Loading, and Data Analysis.</w:t>
      </w:r>
    </w:p>
    <w:bookmarkStart w:id="25" w:name="phase-i-preparation-and-curing"/>
    <w:p>
      <w:pPr>
        <w:pStyle w:val="Heading3"/>
      </w:pPr>
      <w:r>
        <w:t xml:space="preserve">4.1 Phase I: Preparation and Curing</w:t>
      </w:r>
    </w:p>
    <w:p>
      <w:pPr>
        <w:numPr>
          <w:ilvl w:val="0"/>
          <w:numId w:val="1003"/>
        </w:numPr>
        <w:pStyle w:val="Compact"/>
      </w:pPr>
      <w:r>
        <w:t xml:space="preserve">Cast the concrete specimens using a controlled mixing process.</w:t>
      </w:r>
    </w:p>
    <w:p>
      <w:pPr>
        <w:numPr>
          <w:ilvl w:val="0"/>
          <w:numId w:val="1003"/>
        </w:numPr>
        <w:pStyle w:val="Compact"/>
      </w:pPr>
      <w:r>
        <w:t xml:space="preserve">Cure the specimens in a humidity-controlled chamber at 23°C ± 2°C for 28 days.</w:t>
      </w:r>
    </w:p>
    <w:p>
      <w:pPr>
        <w:numPr>
          <w:ilvl w:val="0"/>
          <w:numId w:val="1003"/>
        </w:numPr>
        <w:pStyle w:val="Compact"/>
      </w:pPr>
      <w:r>
        <w:t xml:space="preserve">Install strain gauges and Linear Variable Differential Transformers (LVDTs) to measure axial strain and lateral displacement.</w:t>
      </w:r>
    </w:p>
    <w:p>
      <w:pPr>
        <w:numPr>
          <w:ilvl w:val="0"/>
          <w:numId w:val="1003"/>
        </w:numPr>
        <w:pStyle w:val="Compact"/>
      </w:pPr>
      <w:r>
        <w:t xml:space="preserve">Mount the specimens in the strong floor of the testing frame, applying a constant axial load representing 15% of the concrete's compressive strength.</w:t>
      </w:r>
    </w:p>
    <w:bookmarkEnd w:id="25"/>
    <w:bookmarkStart w:id="26" w:name="phase-ii-cyclic-loading"/>
    <w:p>
      <w:pPr>
        <w:pStyle w:val="Heading3"/>
      </w:pPr>
      <w:r>
        <w:t xml:space="preserve">4.2 Phase II: Cyclic Loading</w:t>
      </w:r>
    </w:p>
    <w:p>
      <w:pPr>
        <w:pStyle w:val="FirstParagraph"/>
      </w:pPr>
      <w:r>
        <w:t xml:space="preserve">A hydraulic actuator will apply lateral displacement-controlled loading. The loading protocol will simulate the bidirectional nature of seismic waves common in Peru.</w:t>
      </w:r>
    </w:p>
    <w:p>
      <w:pPr>
        <w:numPr>
          <w:ilvl w:val="0"/>
          <w:numId w:val="1004"/>
        </w:numPr>
        <w:pStyle w:val="Compact"/>
      </w:pPr>
      <w:r>
        <w:rPr>
          <w:bCs/>
          <w:b/>
        </w:rPr>
        <w:t xml:space="preserve">Initial Cycles:</w:t>
      </w:r>
      <w:r>
        <w:t xml:space="preserve"> </w:t>
      </w:r>
      <w:r>
        <w:t xml:space="preserve">Apply small displacements (±2mm) to verify sensor calibration.</w:t>
      </w:r>
    </w:p>
    <w:p>
      <w:pPr>
        <w:numPr>
          <w:ilvl w:val="0"/>
          <w:numId w:val="1004"/>
        </w:numPr>
        <w:pStyle w:val="Compact"/>
      </w:pPr>
      <w:r>
        <w:rPr>
          <w:bCs/>
          <w:b/>
        </w:rPr>
        <w:t xml:space="preserve">Progressive Loading:</w:t>
      </w:r>
      <w:r>
        <w:t xml:space="preserve"> </w:t>
      </w:r>
      <w:r>
        <w:t xml:space="preserve">Increase displacement amplitude in increments of 2mm until yielding is observed.</w:t>
      </w:r>
    </w:p>
    <w:p>
      <w:pPr>
        <w:numPr>
          <w:ilvl w:val="0"/>
          <w:numId w:val="1004"/>
        </w:numPr>
        <w:pStyle w:val="Compact"/>
      </w:pPr>
      <w:r>
        <w:rPr>
          <w:bCs/>
          <w:b/>
        </w:rPr>
        <w:t xml:space="preserve">Post-Yield Loading:</w:t>
      </w:r>
      <w:r>
        <w:t xml:space="preserve"> </w:t>
      </w:r>
      <w:r>
        <w:t xml:space="preserve">Continue increasing displacement until the load capacity drops to 80% of the peak load.</w:t>
      </w:r>
    </w:p>
    <w:bookmarkEnd w:id="26"/>
    <w:bookmarkStart w:id="27" w:name="phase-iii-data-recording"/>
    <w:p>
      <w:pPr>
        <w:pStyle w:val="Heading3"/>
      </w:pPr>
      <w:r>
        <w:t xml:space="preserve">4.3 Phase III: Data Recording</w:t>
      </w:r>
    </w:p>
    <w:p>
      <w:pPr>
        <w:pStyle w:val="FirstParagraph"/>
      </w:pPr>
      <w:r>
        <w:t xml:space="preserve">Data acquisition systems will record force, displacement, and strain at a frequency of 50 Hz. Visual inspections will be conducted after each cycle to document crack width and spalling.</w:t>
      </w:r>
    </w:p>
    <w:bookmarkEnd w:id="27"/>
    <w:bookmarkEnd w:id="28"/>
    <w:bookmarkStart w:id="29" w:name="safety-and-risk-management"/>
    <w:p>
      <w:pPr>
        <w:pStyle w:val="Heading2"/>
      </w:pPr>
      <w:r>
        <w:t xml:space="preserve">5. Safety and Risk Management</w:t>
      </w:r>
    </w:p>
    <w:p>
      <w:pPr>
        <w:pStyle w:val="FirstParagraph"/>
      </w:pPr>
      <w:r>
        <w:rPr>
          <w:bCs/>
          <w:b/>
        </w:rPr>
        <w:t xml:space="preserve">WARNING:</w:t>
      </w:r>
      <w:r>
        <w:t xml:space="preserve"> </w:t>
      </w:r>
      <w:r>
        <w:t xml:space="preserve">This experiment involves high-energy structural testing. Strict adherence to safety protocols is mandatory.</w:t>
      </w:r>
    </w:p>
    <w:p>
      <w:pPr>
        <w:numPr>
          <w:ilvl w:val="0"/>
          <w:numId w:val="1005"/>
        </w:numPr>
        <w:pStyle w:val="Compact"/>
      </w:pPr>
      <w:r>
        <w:t xml:space="preserve">All personnel must wear Personal Protective Equipment (PPE), including safety glasses, steel-toed boots, and high-visibility vests.</w:t>
      </w:r>
    </w:p>
    <w:p>
      <w:pPr>
        <w:numPr>
          <w:ilvl w:val="0"/>
          <w:numId w:val="1005"/>
        </w:numPr>
        <w:pStyle w:val="Compact"/>
      </w:pPr>
      <w:r>
        <w:t xml:space="preserve">A safety cage must surround the testing area to contain potential concrete fragmentation.</w:t>
      </w:r>
    </w:p>
    <w:p>
      <w:pPr>
        <w:numPr>
          <w:ilvl w:val="0"/>
          <w:numId w:val="1005"/>
        </w:numPr>
        <w:pStyle w:val="Compact"/>
      </w:pPr>
      <w:r>
        <w:t xml:space="preserve">Emergency stop buttons must be accessible at all times.</w:t>
      </w:r>
    </w:p>
    <w:p>
      <w:pPr>
        <w:numPr>
          <w:ilvl w:val="0"/>
          <w:numId w:val="1005"/>
        </w:numPr>
        <w:pStyle w:val="Compact"/>
      </w:pPr>
      <w:r>
        <w:t xml:space="preserve">Compliance with Peruvian occupational safety regulations (SUNAFIL) is required.</w:t>
      </w:r>
    </w:p>
    <w:bookmarkEnd w:id="29"/>
    <w:bookmarkStart w:id="30" w:name="data-analysis-and-reporting"/>
    <w:p>
      <w:pPr>
        <w:pStyle w:val="Heading2"/>
      </w:pPr>
      <w:r>
        <w:t xml:space="preserve">6. Data Analysis and Reporting</w:t>
      </w:r>
    </w:p>
    <w:p>
      <w:pPr>
        <w:pStyle w:val="FirstParagraph"/>
      </w:pPr>
      <w:r>
        <w:t xml:space="preserve">Upon completion of the testing, the</w:t>
      </w:r>
      <w:r>
        <w:t xml:space="preserve"> </w:t>
      </w:r>
      <w:r>
        <w:rPr>
          <w:bCs/>
          <w:b/>
        </w:rPr>
        <w:t xml:space="preserve">Civil Engineer</w:t>
      </w:r>
      <w:r>
        <w:t xml:space="preserve"> </w:t>
      </w:r>
      <w:r>
        <w:t xml:space="preserve">in charge will process the data to generate force-displacement hysteresis loops. Key parameters to be calculated include:</w:t>
      </w:r>
    </w:p>
    <w:p>
      <w:pPr>
        <w:numPr>
          <w:ilvl w:val="0"/>
          <w:numId w:val="1006"/>
        </w:numPr>
        <w:pStyle w:val="Compact"/>
      </w:pPr>
      <w:r>
        <w:t xml:space="preserve">Stiffness degradation ratio.</w:t>
      </w:r>
    </w:p>
    <w:p>
      <w:pPr>
        <w:numPr>
          <w:ilvl w:val="0"/>
          <w:numId w:val="1006"/>
        </w:numPr>
        <w:pStyle w:val="Compact"/>
      </w:pPr>
      <w:r>
        <w:t xml:space="preserve">Energy dissipation capacity.</w:t>
      </w:r>
    </w:p>
    <w:p>
      <w:pPr>
        <w:numPr>
          <w:ilvl w:val="0"/>
          <w:numId w:val="1006"/>
        </w:numPr>
        <w:pStyle w:val="Compact"/>
      </w:pPr>
      <w:r>
        <w:t xml:space="preserve">Ductility factor (μ).</w:t>
      </w:r>
    </w:p>
    <w:p>
      <w:pPr>
        <w:pStyle w:val="FirstParagraph"/>
      </w:pPr>
      <w:r>
        <w:t xml:space="preserve">The final report will compare the experimental results against the theoretical predictions of the RNE. Recommendations for design improvements specific to the construction practices in</w:t>
      </w:r>
      <w:r>
        <w:t xml:space="preserve"> </w:t>
      </w:r>
      <w:r>
        <w:rPr>
          <w:bCs/>
          <w:b/>
        </w:rPr>
        <w:t xml:space="preserve">Peru Lima</w:t>
      </w:r>
      <w:r>
        <w:t xml:space="preserve"> </w:t>
      </w:r>
      <w:r>
        <w:t xml:space="preserve">will be formulated based on the findings.</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seismic performance of reinforced concrete structures. By adhering to these procedures, we ensure that the infrastructure developed in Lima is resilient, safe, and compliant with national standards, ultimately protecting lives and property in one of the world's most seismically active regions.</w:t>
      </w:r>
    </w:p>
    <w:p>
      <w:pPr>
        <w:pStyle w:val="BodyText"/>
      </w:pPr>
      <w:r>
        <w:rPr>
          <w:bCs/>
          <w:b/>
        </w:rPr>
        <w:t xml:space="preserve">Lead Civil Engineer</w:t>
      </w:r>
    </w:p>
    <w:p>
      <w:pPr>
        <w:pStyle w:val="BodyText"/>
      </w:pPr>
      <w:r>
        <w:t xml:space="preserve">Signature: ___________________</w:t>
      </w:r>
    </w:p>
    <w:p>
      <w:pPr>
        <w:pStyle w:val="BodyText"/>
      </w:pPr>
      <w:r>
        <w:t xml:space="preserve">Date: ___________________</w:t>
      </w:r>
    </w:p>
    <w:p>
      <w:pPr>
        <w:pStyle w:val="BodyText"/>
      </w:pPr>
      <w:r>
        <w:rPr>
          <w:bCs/>
          <w:b/>
        </w:rPr>
        <w:t xml:space="preserve">Project Supervisor</w:t>
      </w:r>
    </w:p>
    <w:p>
      <w:pPr>
        <w:pStyle w:val="BodyText"/>
      </w:pPr>
      <w:r>
        <w:t xml:space="preserve">Signature: ___________________</w:t>
      </w:r>
    </w:p>
    <w:p>
      <w:pPr>
        <w:pStyle w:val="BodyText"/>
      </w:pPr>
      <w:r>
        <w:t xml:space="preserve">Date: 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Resilience of Reinforced Concrete in Lima, Peru</dc:title>
  <dc:creator/>
  <dc:language>en</dc:language>
  <cp:keywords/>
  <dcterms:created xsi:type="dcterms:W3CDTF">2026-10-10T01:40:00Z</dcterms:created>
  <dcterms:modified xsi:type="dcterms:W3CDTF">2026-10-10T01:40:00Z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