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of</w:t>
      </w:r>
      <w:r>
        <w:t xml:space="preserve"> </w:t>
      </w:r>
      <w:r>
        <w:t xml:space="preserve">Reinforced</w:t>
      </w:r>
      <w:r>
        <w:t xml:space="preserve"> </w:t>
      </w:r>
      <w:r>
        <w:t xml:space="preserve">Concrete</w:t>
      </w:r>
      <w:r>
        <w:t xml:space="preserve"> </w:t>
      </w:r>
      <w:r>
        <w:t xml:space="preserve">in</w:t>
      </w:r>
      <w:r>
        <w:t xml:space="preserve"> </w:t>
      </w:r>
      <w:r>
        <w:t xml:space="preserve">Metro</w:t>
      </w:r>
      <w:r>
        <w:t xml:space="preserve"> </w:t>
      </w:r>
      <w:r>
        <w:t xml:space="preserve">Manila</w:t>
      </w:r>
    </w:p>
    <w:bookmarkStart w:id="20" w:name="X807c0bc3c1a65a834b9cc2d5404d1707a501a22"/>
    <w:p>
      <w:pPr>
        <w:pStyle w:val="Heading1"/>
      </w:pPr>
      <w:r>
        <w:t xml:space="preserve">Experiment Protocol: Structural Integrity Assessment of Reinforced Concrete in Metro Manila</w:t>
      </w:r>
    </w:p>
    <w:p>
      <w:pPr>
        <w:pStyle w:val="FirstParagraph"/>
      </w:pPr>
      <w:r>
        <w:rPr>
          <w:bCs/>
          <w:b/>
        </w:rPr>
        <w:t xml:space="preserve">Document ID:</w:t>
      </w:r>
      <w:r>
        <w:t xml:space="preserve"> </w:t>
      </w:r>
      <w:r>
        <w:t xml:space="preserve">PE-MNL-2023-045</w:t>
      </w:r>
    </w:p>
    <w:p>
      <w:pPr>
        <w:pStyle w:val="BodyText"/>
      </w:pPr>
      <w:r>
        <w:rPr>
          <w:bCs/>
          <w:b/>
        </w:rPr>
        <w:t xml:space="preserve">Prepared For:</w:t>
      </w:r>
      <w:r>
        <w:t xml:space="preserve"> </w:t>
      </w:r>
      <w:r>
        <w:t xml:space="preserve">Professional Regulation Commission (PRC) and Local Government Units of Metro Manila</w:t>
      </w:r>
    </w:p>
    <w:p>
      <w:pPr>
        <w:pStyle w:val="BodyText"/>
      </w:pPr>
      <w:r>
        <w:rPr>
          <w:bCs/>
          <w:b/>
        </w:rPr>
        <w:t xml:space="preserve">Role:</w:t>
      </w:r>
      <w:r>
        <w:t xml:space="preserve"> </w:t>
      </w:r>
      <w:r>
        <w:t xml:space="preserve">Licensed Civil Engineer</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1.0 Introduction and Objective</w:t>
      </w:r>
    </w:p>
    <w:p>
      <w:pPr>
        <w:pStyle w:val="FirstParagraph"/>
      </w:pPr>
      <w:r>
        <w:t xml:space="preserve">This Experiment Protocol outlines the standardized procedures for assessing the structural integrity of existing reinforced concrete (RC) structures within the Philippines Manila metropolitan area. Given the unique environmental conditions of Manila—characterized by high humidity, monsoon rains, and seismic activity—the degradation of concrete infrastructure is a critical concern.</w:t>
      </w:r>
    </w:p>
    <w:p>
      <w:pPr>
        <w:pStyle w:val="BodyText"/>
      </w:pPr>
      <w:r>
        <w:t xml:space="preserve">The primary objective of this protocol is to provide a rigorous framework for Civil Engineers to evaluate the durability, load-bearing capacity, and safety of RC structures. This protocol ensures compliance with the National Structural Code of the Philippines (NSCP) and aims to mitigate risks associated with structural failure in densely populated urban zones.</w:t>
      </w:r>
    </w:p>
    <w:bookmarkEnd w:id="21"/>
    <w:bookmarkStart w:id="22" w:name="scope-and-applicability"/>
    <w:p>
      <w:pPr>
        <w:pStyle w:val="Heading2"/>
      </w:pPr>
      <w:r>
        <w:t xml:space="preserve">2.0 Scope and Applicability</w:t>
      </w:r>
    </w:p>
    <w:p>
      <w:pPr>
        <w:pStyle w:val="FirstParagraph"/>
      </w:pPr>
      <w:r>
        <w:t xml:space="preserve">This protocol applies to all Civil Engineers conducting structural assessments in Metro Manila. It covers:</w:t>
      </w:r>
    </w:p>
    <w:p>
      <w:pPr>
        <w:numPr>
          <w:ilvl w:val="0"/>
          <w:numId w:val="1001"/>
        </w:numPr>
        <w:pStyle w:val="Compact"/>
      </w:pPr>
      <w:r>
        <w:t xml:space="preserve">Residential and commercial buildings constructed between 1990 and 2010.</w:t>
      </w:r>
    </w:p>
    <w:p>
      <w:pPr>
        <w:numPr>
          <w:ilvl w:val="0"/>
          <w:numId w:val="1001"/>
        </w:numPr>
        <w:pStyle w:val="Compact"/>
      </w:pPr>
      <w:r>
        <w:t xml:space="preserve">Public infrastructure such as bridges, overpasses, and drainage systems.</w:t>
      </w:r>
    </w:p>
    <w:p>
      <w:pPr>
        <w:numPr>
          <w:ilvl w:val="0"/>
          <w:numId w:val="1001"/>
        </w:numPr>
        <w:pStyle w:val="Compact"/>
      </w:pPr>
      <w:r>
        <w:t xml:space="preserve">Structures located in flood-prone areas or near coastal zones where chloride-induced corrosion is prevalent.</w:t>
      </w:r>
    </w:p>
    <w:p>
      <w:pPr>
        <w:pStyle w:val="FirstParagraph"/>
      </w:pPr>
      <w:r>
        <w:t xml:space="preserve">The protocol is designed to be used during routine inspections, post-disaster assessments, and pre-renovation evaluations.</w:t>
      </w:r>
    </w:p>
    <w:bookmarkEnd w:id="22"/>
    <w:bookmarkStart w:id="23" w:name="materials-and-equipment"/>
    <w:p>
      <w:pPr>
        <w:pStyle w:val="Heading2"/>
      </w:pPr>
      <w:r>
        <w:t xml:space="preserve">3.0 Materials and Equipment</w:t>
      </w:r>
    </w:p>
    <w:p>
      <w:pPr>
        <w:pStyle w:val="FirstParagraph"/>
      </w:pPr>
      <w:r>
        <w:t xml:space="preserve">To ensure accurate and reliable results, the following materials and equipment must be used:</w:t>
      </w:r>
    </w:p>
    <w:p>
      <w:pPr>
        <w:numPr>
          <w:ilvl w:val="0"/>
          <w:numId w:val="1002"/>
        </w:numPr>
        <w:pStyle w:val="Compact"/>
      </w:pPr>
      <w:r>
        <w:rPr>
          <w:bCs/>
          <w:b/>
        </w:rPr>
        <w:t xml:space="preserve">Rebound Hammer:</w:t>
      </w:r>
      <w:r>
        <w:t xml:space="preserve"> </w:t>
      </w:r>
      <w:r>
        <w:t xml:space="preserve">For non-destructive testing (NDT) of concrete surface hardness.</w:t>
      </w:r>
    </w:p>
    <w:p>
      <w:pPr>
        <w:numPr>
          <w:ilvl w:val="0"/>
          <w:numId w:val="1002"/>
        </w:numPr>
        <w:pStyle w:val="Compact"/>
      </w:pPr>
      <w:r>
        <w:rPr>
          <w:bCs/>
          <w:b/>
        </w:rPr>
        <w:t xml:space="preserve">Ultrasonic Pulse Velocity (UPV) Tester:</w:t>
      </w:r>
      <w:r>
        <w:t xml:space="preserve"> </w:t>
      </w:r>
      <w:r>
        <w:t xml:space="preserve">To assess the internal quality and homogeneity of concrete.</w:t>
      </w:r>
    </w:p>
    <w:p>
      <w:pPr>
        <w:numPr>
          <w:ilvl w:val="0"/>
          <w:numId w:val="1002"/>
        </w:numPr>
        <w:pStyle w:val="Compact"/>
      </w:pPr>
      <w:r>
        <w:rPr>
          <w:bCs/>
          <w:b/>
        </w:rPr>
        <w:t xml:space="preserve">Half-Cell Potential Meter:</w:t>
      </w:r>
      <w:r>
        <w:t xml:space="preserve"> </w:t>
      </w:r>
      <w:r>
        <w:t xml:space="preserve">For detecting the likelihood of rebar corrosion.</w:t>
      </w:r>
    </w:p>
    <w:p>
      <w:pPr>
        <w:numPr>
          <w:ilvl w:val="0"/>
          <w:numId w:val="1002"/>
        </w:numPr>
        <w:pStyle w:val="Compact"/>
      </w:pPr>
      <w:r>
        <w:rPr>
          <w:bCs/>
          <w:b/>
        </w:rPr>
        <w:t xml:space="preserve">Carbonation Depth Test Kit:</w:t>
      </w:r>
      <w:r>
        <w:t xml:space="preserve"> </w:t>
      </w:r>
      <w:r>
        <w:t xml:space="preserve">Including phenolphthalein solution and drill bits.</w:t>
      </w:r>
    </w:p>
    <w:p>
      <w:pPr>
        <w:numPr>
          <w:ilvl w:val="0"/>
          <w:numId w:val="1002"/>
        </w:numPr>
        <w:pStyle w:val="Compact"/>
      </w:pPr>
      <w:r>
        <w:rPr>
          <w:bCs/>
          <w:b/>
        </w:rPr>
        <w:t xml:space="preserve">Core Drilling Machine:</w:t>
      </w:r>
      <w:r>
        <w:t xml:space="preserve"> </w:t>
      </w:r>
      <w:r>
        <w:t xml:space="preserve">For extracting concrete samples for compressive strength testing.</w:t>
      </w:r>
    </w:p>
    <w:p>
      <w:pPr>
        <w:numPr>
          <w:ilvl w:val="0"/>
          <w:numId w:val="1002"/>
        </w:numPr>
        <w:pStyle w:val="Compact"/>
      </w:pPr>
      <w:r>
        <w:rPr>
          <w:bCs/>
          <w:b/>
        </w:rPr>
        <w:t xml:space="preserve">Personal Protective Equipment (PPE):</w:t>
      </w:r>
      <w:r>
        <w:t xml:space="preserve"> </w:t>
      </w:r>
      <w:r>
        <w:t xml:space="preserve">Helmets, safety boots, gloves, and high-visibility vests.</w:t>
      </w:r>
    </w:p>
    <w:bookmarkEnd w:id="23"/>
    <w:bookmarkStart w:id="29" w:name="methodology"/>
    <w:p>
      <w:pPr>
        <w:pStyle w:val="Heading2"/>
      </w:pPr>
      <w:r>
        <w:t xml:space="preserve">4.0 Methodology</w:t>
      </w:r>
    </w:p>
    <w:bookmarkStart w:id="24" w:name="site-preparation-and-safety"/>
    <w:p>
      <w:pPr>
        <w:pStyle w:val="Heading3"/>
      </w:pPr>
      <w:r>
        <w:t xml:space="preserve">4.1 Site Preparation and Safety</w:t>
      </w:r>
    </w:p>
    <w:p>
      <w:pPr>
        <w:pStyle w:val="FirstParagraph"/>
      </w:pPr>
      <w:r>
        <w:t xml:space="preserve">Before commencing any testing, the Civil Engineer must conduct a site safety assessment. This includes identifying potential hazards such as unstable structures, electrical risks, and traffic conditions. In Metro Manila, where construction sites are often in close proximity to public spaces, proper barricading and signage must be installed in accordance with local ordinances.</w:t>
      </w:r>
    </w:p>
    <w:p>
      <w:pPr>
        <w:pStyle w:val="BodyText"/>
      </w:pPr>
      <w:r>
        <w:t xml:space="preserve">The engineer must also obtain necessary permits from the local government unit (LGU) and inform building occupants of the testing schedule.</w:t>
      </w:r>
    </w:p>
    <w:bookmarkEnd w:id="24"/>
    <w:bookmarkStart w:id="25" w:name="visual-inspection"/>
    <w:p>
      <w:pPr>
        <w:pStyle w:val="Heading3"/>
      </w:pPr>
      <w:r>
        <w:t xml:space="preserve">4.2 Visual Inspection</w:t>
      </w:r>
    </w:p>
    <w:p>
      <w:pPr>
        <w:pStyle w:val="FirstParagraph"/>
      </w:pPr>
      <w:r>
        <w:t xml:space="preserve">A thorough visual inspection is the first step in the protocol. The Civil Engineer must document:</w:t>
      </w:r>
    </w:p>
    <w:p>
      <w:pPr>
        <w:numPr>
          <w:ilvl w:val="0"/>
          <w:numId w:val="1003"/>
        </w:numPr>
        <w:pStyle w:val="Compact"/>
      </w:pPr>
      <w:r>
        <w:t xml:space="preserve">Cracks, spalling, and delamination of concrete surfaces.</w:t>
      </w:r>
    </w:p>
    <w:p>
      <w:pPr>
        <w:numPr>
          <w:ilvl w:val="0"/>
          <w:numId w:val="1003"/>
        </w:numPr>
        <w:pStyle w:val="Compact"/>
      </w:pPr>
      <w:r>
        <w:t xml:space="preserve">Signs of water infiltration or moisture damage.</w:t>
      </w:r>
    </w:p>
    <w:p>
      <w:pPr>
        <w:numPr>
          <w:ilvl w:val="0"/>
          <w:numId w:val="1003"/>
        </w:numPr>
        <w:pStyle w:val="Compact"/>
      </w:pPr>
      <w:r>
        <w:t xml:space="preserve">Exposure of reinforcement bars due to concrete deterioration.</w:t>
      </w:r>
    </w:p>
    <w:p>
      <w:pPr>
        <w:numPr>
          <w:ilvl w:val="0"/>
          <w:numId w:val="1003"/>
        </w:numPr>
        <w:pStyle w:val="Compact"/>
      </w:pPr>
      <w:r>
        <w:t xml:space="preserve">Settlement or tilting of the structure.</w:t>
      </w:r>
    </w:p>
    <w:p>
      <w:pPr>
        <w:pStyle w:val="FirstParagraph"/>
      </w:pPr>
      <w:r>
        <w:t xml:space="preserve">Photographic evidence must be taken for all observed defects, with scale references included for accurate measurement.</w:t>
      </w:r>
    </w:p>
    <w:bookmarkEnd w:id="25"/>
    <w:bookmarkStart w:id="26" w:name="non-destructive-testing-ndt"/>
    <w:p>
      <w:pPr>
        <w:pStyle w:val="Heading3"/>
      </w:pPr>
      <w:r>
        <w:t xml:space="preserve">4.3 Non-Destructive Testing (NDT)</w:t>
      </w:r>
    </w:p>
    <w:p>
      <w:pPr>
        <w:pStyle w:val="FirstParagraph"/>
      </w:pPr>
      <w:r>
        <w:t xml:space="preserve">NDT methods are employed to assess the condition of the concrete without causing damage. The following tests must be conducted:</w:t>
      </w:r>
    </w:p>
    <w:p>
      <w:pPr>
        <w:numPr>
          <w:ilvl w:val="0"/>
          <w:numId w:val="1004"/>
        </w:numPr>
        <w:pStyle w:val="Compact"/>
      </w:pPr>
      <w:r>
        <w:rPr>
          <w:bCs/>
          <w:b/>
        </w:rPr>
        <w:t xml:space="preserve">Rebound Hammer Test:</w:t>
      </w:r>
      <w:r>
        <w:t xml:space="preserve"> </w:t>
      </w:r>
      <w:r>
        <w:t xml:space="preserve">Perform at least 10 readings per structural element. Record the average rebound number and correlate it with estimated compressive strength using calibration curves.</w:t>
      </w:r>
    </w:p>
    <w:p>
      <w:pPr>
        <w:numPr>
          <w:ilvl w:val="0"/>
          <w:numId w:val="1004"/>
        </w:numPr>
        <w:pStyle w:val="Compact"/>
      </w:pPr>
      <w:r>
        <w:rPr>
          <w:bCs/>
          <w:b/>
        </w:rPr>
        <w:t xml:space="preserve">Ultrasonic Pulse Velocity Test:</w:t>
      </w:r>
      <w:r>
        <w:t xml:space="preserve"> </w:t>
      </w:r>
      <w:r>
        <w:t xml:space="preserve">Measure the time taken for an ultrasonic pulse to travel through the concrete. Lower velocities indicate potential internal defects or poor quality concrete.</w:t>
      </w:r>
    </w:p>
    <w:p>
      <w:pPr>
        <w:numPr>
          <w:ilvl w:val="0"/>
          <w:numId w:val="1004"/>
        </w:numPr>
        <w:pStyle w:val="Compact"/>
      </w:pPr>
      <w:r>
        <w:rPr>
          <w:bCs/>
          <w:b/>
        </w:rPr>
        <w:t xml:space="preserve">Half-Cell Potential Test:</w:t>
      </w:r>
      <w:r>
        <w:t xml:space="preserve"> </w:t>
      </w:r>
      <w:r>
        <w:t xml:space="preserve">Map the electrical potential of the reinforcement bars to identify areas at risk of corrosion. This is particularly important in Manila’s humid and saline environment.</w:t>
      </w:r>
    </w:p>
    <w:bookmarkEnd w:id="26"/>
    <w:bookmarkStart w:id="27" w:name="destructive-testing"/>
    <w:p>
      <w:pPr>
        <w:pStyle w:val="Heading3"/>
      </w:pPr>
      <w:r>
        <w:t xml:space="preserve">4.4 Destructive Testing</w:t>
      </w:r>
    </w:p>
    <w:p>
      <w:pPr>
        <w:pStyle w:val="FirstParagraph"/>
      </w:pPr>
      <w:r>
        <w:t xml:space="preserve">If NDT results indicate significant concerns, destructive testing may be required. Concrete cores must be drilled from non-critical areas of the structure. The cores should be:</w:t>
      </w:r>
    </w:p>
    <w:p>
      <w:pPr>
        <w:numPr>
          <w:ilvl w:val="0"/>
          <w:numId w:val="1005"/>
        </w:numPr>
        <w:pStyle w:val="Compact"/>
      </w:pPr>
      <w:r>
        <w:t xml:space="preserve">At least 100mm in diameter and twice the diameter in length.</w:t>
      </w:r>
    </w:p>
    <w:p>
      <w:pPr>
        <w:numPr>
          <w:ilvl w:val="0"/>
          <w:numId w:val="1005"/>
        </w:numPr>
        <w:pStyle w:val="Compact"/>
      </w:pPr>
      <w:r>
        <w:t xml:space="preserve">Capped and cured according to ASTM standards.</w:t>
      </w:r>
    </w:p>
    <w:p>
      <w:pPr>
        <w:numPr>
          <w:ilvl w:val="0"/>
          <w:numId w:val="1005"/>
        </w:numPr>
        <w:pStyle w:val="Compact"/>
      </w:pPr>
      <w:r>
        <w:t xml:space="preserve">Tested for compressive strength in a certified laboratory.</w:t>
      </w:r>
    </w:p>
    <w:p>
      <w:pPr>
        <w:pStyle w:val="FirstParagraph"/>
      </w:pPr>
      <w:r>
        <w:t xml:space="preserve">The results will be compared against the design strength specified in the original structural plans.</w:t>
      </w:r>
    </w:p>
    <w:bookmarkEnd w:id="27"/>
    <w:bookmarkStart w:id="28" w:name="carbonation-depth-test"/>
    <w:p>
      <w:pPr>
        <w:pStyle w:val="Heading3"/>
      </w:pPr>
      <w:r>
        <w:t xml:space="preserve">4.5 Carbonation Depth Test</w:t>
      </w:r>
    </w:p>
    <w:p>
      <w:pPr>
        <w:pStyle w:val="FirstParagraph"/>
      </w:pPr>
      <w:r>
        <w:t xml:space="preserve">Carbonation reduces the alkalinity of concrete, leading to rebar corrosion. To measure carbonation depth:</w:t>
      </w:r>
    </w:p>
    <w:p>
      <w:pPr>
        <w:numPr>
          <w:ilvl w:val="0"/>
          <w:numId w:val="1006"/>
        </w:numPr>
        <w:pStyle w:val="Compact"/>
      </w:pPr>
      <w:r>
        <w:t xml:space="preserve">Drill a small hole into the concrete surface.</w:t>
      </w:r>
    </w:p>
    <w:p>
      <w:pPr>
        <w:numPr>
          <w:ilvl w:val="0"/>
          <w:numId w:val="1006"/>
        </w:numPr>
        <w:pStyle w:val="Compact"/>
      </w:pPr>
      <w:r>
        <w:t xml:space="preserve">Apply phenolphthalein solution to the exposed surface.</w:t>
      </w:r>
    </w:p>
    <w:p>
      <w:pPr>
        <w:numPr>
          <w:ilvl w:val="0"/>
          <w:numId w:val="1006"/>
        </w:numPr>
        <w:pStyle w:val="Compact"/>
      </w:pPr>
      <w:r>
        <w:t xml:space="preserve">Measure the depth of the color change (pink to colorless), which indicates the carbonation front.</w:t>
      </w:r>
    </w:p>
    <w:bookmarkEnd w:id="28"/>
    <w:bookmarkEnd w:id="29"/>
    <w:bookmarkStart w:id="30" w:name="data-analysis-and-reporting"/>
    <w:p>
      <w:pPr>
        <w:pStyle w:val="Heading2"/>
      </w:pPr>
      <w:r>
        <w:t xml:space="preserve">5.0 Data Analysis and Reporting</w:t>
      </w:r>
    </w:p>
    <w:p>
      <w:pPr>
        <w:pStyle w:val="FirstParagraph"/>
      </w:pPr>
      <w:r>
        <w:t xml:space="preserve">All data collected during the experiment must be analyzed by a licensed Civil Engineer. The analysis should include:</w:t>
      </w:r>
    </w:p>
    <w:p>
      <w:pPr>
        <w:numPr>
          <w:ilvl w:val="0"/>
          <w:numId w:val="1007"/>
        </w:numPr>
        <w:pStyle w:val="Compact"/>
      </w:pPr>
      <w:r>
        <w:t xml:space="preserve">Comparison of test results with NSCP requirements.</w:t>
      </w:r>
    </w:p>
    <w:p>
      <w:pPr>
        <w:numPr>
          <w:ilvl w:val="0"/>
          <w:numId w:val="1007"/>
        </w:numPr>
        <w:pStyle w:val="Compact"/>
      </w:pPr>
      <w:r>
        <w:t xml:space="preserve">Identification of areas requiring immediate repair or reinforcement.</w:t>
      </w:r>
    </w:p>
    <w:p>
      <w:pPr>
        <w:numPr>
          <w:ilvl w:val="0"/>
          <w:numId w:val="1007"/>
        </w:numPr>
        <w:pStyle w:val="Compact"/>
      </w:pPr>
      <w:r>
        <w:t xml:space="preserve">Assessment of the overall structural safety and serviceability.</w:t>
      </w:r>
    </w:p>
    <w:p>
      <w:pPr>
        <w:pStyle w:val="FirstParagraph"/>
      </w:pPr>
      <w:r>
        <w:t xml:space="preserve">A comprehensive report must be prepared, including:</w:t>
      </w:r>
    </w:p>
    <w:p>
      <w:pPr>
        <w:numPr>
          <w:ilvl w:val="0"/>
          <w:numId w:val="1008"/>
        </w:numPr>
        <w:pStyle w:val="Compact"/>
      </w:pPr>
      <w:r>
        <w:t xml:space="preserve">Executive summary of findings.</w:t>
      </w:r>
    </w:p>
    <w:p>
      <w:pPr>
        <w:numPr>
          <w:ilvl w:val="0"/>
          <w:numId w:val="1008"/>
        </w:numPr>
        <w:pStyle w:val="Compact"/>
      </w:pPr>
      <w:r>
        <w:t xml:space="preserve">Detailed methodology and test results.</w:t>
      </w:r>
    </w:p>
    <w:p>
      <w:pPr>
        <w:numPr>
          <w:ilvl w:val="0"/>
          <w:numId w:val="1008"/>
        </w:numPr>
        <w:pStyle w:val="Compact"/>
      </w:pPr>
      <w:r>
        <w:t xml:space="preserve">Photographs and diagrams of defects.</w:t>
      </w:r>
    </w:p>
    <w:p>
      <w:pPr>
        <w:numPr>
          <w:ilvl w:val="0"/>
          <w:numId w:val="1008"/>
        </w:numPr>
        <w:pStyle w:val="Compact"/>
      </w:pPr>
      <w:r>
        <w:t xml:space="preserve">Recommendations for repair, maintenance, or demolition.</w:t>
      </w:r>
    </w:p>
    <w:p>
      <w:pPr>
        <w:pStyle w:val="FirstParagraph"/>
      </w:pPr>
      <w:r>
        <w:t xml:space="preserve">The report must be submitted to the relevant authorities and stakeholders within 30 days of completing the assessment.</w:t>
      </w:r>
    </w:p>
    <w:bookmarkEnd w:id="30"/>
    <w:bookmarkStart w:id="31" w:name="quality-assurance-and-control"/>
    <w:p>
      <w:pPr>
        <w:pStyle w:val="Heading2"/>
      </w:pPr>
      <w:r>
        <w:t xml:space="preserve">6.0 Quality Assurance and Control</w:t>
      </w:r>
    </w:p>
    <w:p>
      <w:pPr>
        <w:pStyle w:val="FirstParagraph"/>
      </w:pPr>
      <w:r>
        <w:t xml:space="preserve">To ensure the reliability of the results, the following quality assurance measures must be implemented:</w:t>
      </w:r>
    </w:p>
    <w:p>
      <w:pPr>
        <w:numPr>
          <w:ilvl w:val="0"/>
          <w:numId w:val="1009"/>
        </w:numPr>
        <w:pStyle w:val="Compact"/>
      </w:pPr>
      <w:r>
        <w:t xml:space="preserve">All testing equipment must be calibrated regularly and certified by accredited laboratories.</w:t>
      </w:r>
    </w:p>
    <w:p>
      <w:pPr>
        <w:numPr>
          <w:ilvl w:val="0"/>
          <w:numId w:val="1009"/>
        </w:numPr>
        <w:pStyle w:val="Compact"/>
      </w:pPr>
      <w:r>
        <w:t xml:space="preserve">Testing procedures must be performed by trained and experienced personnel.</w:t>
      </w:r>
    </w:p>
    <w:p>
      <w:pPr>
        <w:numPr>
          <w:ilvl w:val="0"/>
          <w:numId w:val="1009"/>
        </w:numPr>
        <w:pStyle w:val="Compact"/>
      </w:pPr>
      <w:r>
        <w:t xml:space="preserve">Random spot checks and peer reviews of test results should be conducted.</w:t>
      </w:r>
    </w:p>
    <w:bookmarkEnd w:id="31"/>
    <w:bookmarkStart w:id="32" w:name="conclusion"/>
    <w:p>
      <w:pPr>
        <w:pStyle w:val="Heading2"/>
      </w:pPr>
      <w:r>
        <w:t xml:space="preserve">7.0 Conclusion</w:t>
      </w:r>
    </w:p>
    <w:p>
      <w:pPr>
        <w:pStyle w:val="FirstParagraph"/>
      </w:pPr>
      <w:r>
        <w:t xml:space="preserve">This Experiment Protocol provides a systematic approach for Civil Engineers to assess the structural integrity of reinforced concrete buildings in the Philippines Manila. By adhering to these procedures, engineers can ensure the safety and longevity of infrastructure, protect public welfare, and contribute to the sustainable development of the city.</w:t>
      </w:r>
    </w:p>
    <w:p>
      <w:pPr>
        <w:pStyle w:val="BodyText"/>
      </w:pPr>
      <w:r>
        <w:t xml:space="preserve">Note: This protocol should be reviewed and updated periodically to reflect changes in building codes, testing technologies, and environmental conditions.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of Reinforced Concrete in Metro Manila</dc:title>
  <dc:creator/>
  <dc:language>en</dc:language>
  <cp:keywords/>
  <dcterms:created xsi:type="dcterms:W3CDTF">2026-10-10T02:39:36Z</dcterms:created>
  <dcterms:modified xsi:type="dcterms:W3CDTF">2026-10-10T02:39:36Z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