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and</w:t>
      </w:r>
      <w:r>
        <w:t xml:space="preserve"> </w:t>
      </w:r>
      <w:r>
        <w:t xml:space="preserve">Structural</w:t>
      </w:r>
      <w:r>
        <w:t xml:space="preserve"> </w:t>
      </w:r>
      <w:r>
        <w:t xml:space="preserve">Assessment</w:t>
      </w:r>
      <w:r>
        <w:t xml:space="preserve"> </w:t>
      </w:r>
      <w:r>
        <w:t xml:space="preserve">for</w:t>
      </w:r>
      <w:r>
        <w:t xml:space="preserve"> </w:t>
      </w:r>
      <w:r>
        <w:t xml:space="preserve">High-Rise</w:t>
      </w:r>
      <w:r>
        <w:t xml:space="preserve"> </w:t>
      </w:r>
      <w:r>
        <w:t xml:space="preserve">Construction</w:t>
      </w:r>
      <w:r>
        <w:t xml:space="preserve"> </w:t>
      </w:r>
      <w:r>
        <w:t xml:space="preserve">in</w:t>
      </w:r>
      <w:r>
        <w:t xml:space="preserve"> </w:t>
      </w:r>
      <w:r>
        <w:t xml:space="preserve">Qatar</w:t>
      </w:r>
      <w:r>
        <w:t xml:space="preserve"> </w:t>
      </w:r>
      <w:r>
        <w:t xml:space="preserve">Doha</w:t>
      </w:r>
    </w:p>
    <w:bookmarkStart w:id="20" w:name="Xf6ecc9a92be608dc6ac0834afbd3514db6c895c"/>
    <w:p>
      <w:pPr>
        <w:pStyle w:val="Heading1"/>
      </w:pPr>
      <w:r>
        <w:t xml:space="preserve">Experiment Protocol: Geotechnical and Structural Assessment for High-Rise Construction in Qatar Doha</w:t>
      </w:r>
    </w:p>
    <w:p>
      <w:pPr>
        <w:pStyle w:val="FirstParagraph"/>
      </w:pPr>
      <w:r>
        <w:rPr>
          <w:bCs/>
          <w:b/>
        </w:rPr>
        <w:t xml:space="preserve">Document ID:</w:t>
      </w:r>
      <w:r>
        <w:t xml:space="preserve"> </w:t>
      </w:r>
      <w:r>
        <w:t xml:space="preserve">QD-CE-EXP-2024-001</w:t>
      </w:r>
    </w:p>
    <w:p>
      <w:pPr>
        <w:pStyle w:val="BodyText"/>
      </w:pPr>
      <w:r>
        <w:rPr>
          <w:bCs/>
          <w:b/>
        </w:rPr>
        <w:t xml:space="preserve">Location:</w:t>
      </w:r>
      <w:r>
        <w:t xml:space="preserve"> </w:t>
      </w:r>
      <w:r>
        <w:t xml:space="preserve">Doha, Qatar (Zone: West Bay / Lusail)</w:t>
      </w:r>
    </w:p>
    <w:p>
      <w:pPr>
        <w:pStyle w:val="BodyText"/>
      </w:pPr>
      <w:r>
        <w:rPr>
          <w:bCs/>
          <w:b/>
        </w:rPr>
        <w:t xml:space="preserve">Discipline:</w:t>
      </w:r>
      <w:r>
        <w:t xml:space="preserve"> </w:t>
      </w:r>
      <w:r>
        <w:t xml:space="preserve">Civil Engineering</w:t>
      </w:r>
    </w:p>
    <w:p>
      <w:pPr>
        <w:pStyle w:val="BodyText"/>
      </w:pPr>
      <w:r>
        <w:rPr>
          <w:bCs/>
          <w:b/>
        </w:rPr>
        <w:t xml:space="preserve">Prepared By:</w:t>
      </w:r>
      <w:r>
        <w:t xml:space="preserve"> </w:t>
      </w:r>
      <w:r>
        <w:t xml:space="preserve">Senior Civil Engineer</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bookmarkStart w:id="21" w:name="objective-and-scope"/>
    <w:p>
      <w:pPr>
        <w:pStyle w:val="Heading2"/>
      </w:pPr>
      <w:r>
        <w:t xml:space="preserve">1. Objective and Scope</w:t>
      </w:r>
    </w:p>
    <w:p>
      <w:pPr>
        <w:pStyle w:val="FirstParagraph"/>
      </w:pPr>
      <w:r>
        <w:t xml:space="preserve">This Experiment Protocol outlines the rigorous testing procedures required for the assessment of soil stability and concrete durability for a proposed high-rise residential tower in Doha, Qatar. The primary objective is to ensure that all materials and geotechnical conditions meet the stringent standards set by the Qatar Civil Defense and the Supreme Council of Planning. As a Civil Engineer operating in this region, it is imperative to account for the unique environmental challenges of Qatar Doha, including high ambient temperatures, saline groundwater, and expansive clay soils.</w:t>
      </w:r>
    </w:p>
    <w:p>
      <w:pPr>
        <w:pStyle w:val="BodyText"/>
      </w:pPr>
      <w:r>
        <w:t xml:space="preserve">The scope of this protocol includes in-situ soil testing, laboratory analysis of concrete mixes resistant to thermal cracking, and structural load simulations. This document serves as the binding guide for all field technicians and laboratory personnel involved in the project.</w:t>
      </w:r>
    </w:p>
    <w:bookmarkEnd w:id="21"/>
    <w:bookmarkStart w:id="22" w:name="environmental-context-and-challenges"/>
    <w:p>
      <w:pPr>
        <w:pStyle w:val="Heading2"/>
      </w:pPr>
      <w:r>
        <w:t xml:space="preserve">2. Environmental Context and Challenges</w:t>
      </w:r>
    </w:p>
    <w:p>
      <w:pPr>
        <w:pStyle w:val="FirstParagraph"/>
      </w:pPr>
      <w:r>
        <w:t xml:space="preserve">Construction in Qatar Doha presents specific engineering challenges that must be addressed through this experiment protocol. The region is characterized by a hot desert climate with summer temperatures frequently exceeding 45°C (113°F). These extreme temperatures can accelerate the hydration process of concrete, leading to thermal cracking and reduced structural integrity if not properly managed.</w:t>
      </w:r>
    </w:p>
    <w:p>
      <w:pPr>
        <w:pStyle w:val="BodyText"/>
      </w:pPr>
      <w:r>
        <w:t xml:space="preserve">Furthermore, the soil profile in many parts of Doha consists of soft marine clays and loose sands, which are prone to settlement and liquefaction. The high salinity of the groundwater poses a significant risk of corrosion to steel reinforcement. Therefore, this protocol emphasizes durability testing and corrosion resistance as critical components of the Civil Engineer's assessment.</w:t>
      </w:r>
    </w:p>
    <w:bookmarkEnd w:id="22"/>
    <w:bookmarkStart w:id="23" w:name="safety-and-compliance"/>
    <w:p>
      <w:pPr>
        <w:pStyle w:val="Heading2"/>
      </w:pPr>
      <w:r>
        <w:t xml:space="preserve">3. Safety and Compliance</w:t>
      </w:r>
    </w:p>
    <w:p>
      <w:pPr>
        <w:pStyle w:val="FirstParagraph"/>
      </w:pPr>
      <w:r>
        <w:rPr>
          <w:bCs/>
          <w:b/>
        </w:rPr>
        <w:t xml:space="preserve">WARNING:</w:t>
      </w:r>
      <w:r>
        <w:t xml:space="preserve"> </w:t>
      </w:r>
      <w:r>
        <w:t xml:space="preserve">All personnel must adhere to the Qatar Occupational Safety and Health (OSH) regulations. Personal Protective Equipment (PPE) is mandatory at all times. Work during peak heat hours (12:00 PM to 3:00 PM) is strictly prohibited during summer months.</w:t>
      </w:r>
    </w:p>
    <w:p>
      <w:pPr>
        <w:pStyle w:val="BodyText"/>
      </w:pPr>
      <w:r>
        <w:t xml:space="preserve">This experiment protocol complies with the following standards:</w:t>
      </w:r>
    </w:p>
    <w:p>
      <w:pPr>
        <w:numPr>
          <w:ilvl w:val="0"/>
          <w:numId w:val="1001"/>
        </w:numPr>
        <w:pStyle w:val="Compact"/>
      </w:pPr>
      <w:r>
        <w:t xml:space="preserve">Qatar Building Code (QBC)</w:t>
      </w:r>
    </w:p>
    <w:p>
      <w:pPr>
        <w:numPr>
          <w:ilvl w:val="0"/>
          <w:numId w:val="1001"/>
        </w:numPr>
        <w:pStyle w:val="Compact"/>
      </w:pPr>
      <w:r>
        <w:t xml:space="preserve">ASTM International Standards for Construction Materials</w:t>
      </w:r>
    </w:p>
    <w:p>
      <w:pPr>
        <w:numPr>
          <w:ilvl w:val="0"/>
          <w:numId w:val="1001"/>
        </w:numPr>
        <w:pStyle w:val="Compact"/>
      </w:pPr>
      <w:r>
        <w:t xml:space="preserve">BS EN Standards for Structural Concrete</w:t>
      </w:r>
    </w:p>
    <w:p>
      <w:pPr>
        <w:numPr>
          <w:ilvl w:val="0"/>
          <w:numId w:val="1001"/>
        </w:numPr>
        <w:pStyle w:val="Compact"/>
      </w:pPr>
      <w:r>
        <w:t xml:space="preserve">Local regulations issued by the Municipality of Doha</w:t>
      </w:r>
    </w:p>
    <w:bookmarkEnd w:id="23"/>
    <w:bookmarkStart w:id="27" w:name="experimental-procedures"/>
    <w:p>
      <w:pPr>
        <w:pStyle w:val="Heading2"/>
      </w:pPr>
      <w:r>
        <w:t xml:space="preserve">4. Experimental Procedures</w:t>
      </w:r>
    </w:p>
    <w:bookmarkStart w:id="24" w:name="geotechnical-investigation"/>
    <w:p>
      <w:pPr>
        <w:pStyle w:val="Heading3"/>
      </w:pPr>
      <w:r>
        <w:t xml:space="preserve">4.1 Geotechnical Investigation</w:t>
      </w:r>
    </w:p>
    <w:p>
      <w:pPr>
        <w:pStyle w:val="FirstParagraph"/>
      </w:pPr>
      <w:r>
        <w:t xml:space="preserve">The first phase of the experiment protocol involves a comprehensive geotechnical survey. Boreholes will be drilled to a depth of 30 meters to obtain soil samples. The following tests will be conducted:</w:t>
      </w:r>
    </w:p>
    <w:p>
      <w:pPr>
        <w:numPr>
          <w:ilvl w:val="0"/>
          <w:numId w:val="1002"/>
        </w:numPr>
        <w:pStyle w:val="Compact"/>
      </w:pPr>
      <w:r>
        <w:rPr>
          <w:bCs/>
          <w:b/>
        </w:rPr>
        <w:t xml:space="preserve">Standard Penetration Test (SPT):</w:t>
      </w:r>
      <w:r>
        <w:t xml:space="preserve"> </w:t>
      </w:r>
      <w:r>
        <w:t xml:space="preserve">To determine the relative density of soils and their engineering properties.</w:t>
      </w:r>
    </w:p>
    <w:p>
      <w:pPr>
        <w:numPr>
          <w:ilvl w:val="0"/>
          <w:numId w:val="1002"/>
        </w:numPr>
        <w:pStyle w:val="Compact"/>
      </w:pPr>
      <w:r>
        <w:rPr>
          <w:bCs/>
          <w:b/>
        </w:rPr>
        <w:t xml:space="preserve">Unconfined Compressive Strength Test:</w:t>
      </w:r>
      <w:r>
        <w:t xml:space="preserve"> </w:t>
      </w:r>
      <w:r>
        <w:t xml:space="preserve">To assess the strength of cohesive soils.</w:t>
      </w:r>
    </w:p>
    <w:p>
      <w:pPr>
        <w:numPr>
          <w:ilvl w:val="0"/>
          <w:numId w:val="1002"/>
        </w:numPr>
        <w:pStyle w:val="Compact"/>
      </w:pPr>
      <w:r>
        <w:rPr>
          <w:bCs/>
          <w:b/>
        </w:rPr>
        <w:t xml:space="preserve">Atterberg Limits:</w:t>
      </w:r>
      <w:r>
        <w:t xml:space="preserve"> </w:t>
      </w:r>
      <w:r>
        <w:t xml:space="preserve">To evaluate the plasticity and liquidity of clay soils, which is crucial for predicting swelling potential in Doha's soil conditions.</w:t>
      </w:r>
    </w:p>
    <w:bookmarkEnd w:id="24"/>
    <w:bookmarkStart w:id="25" w:name="concrete-durability-testing"/>
    <w:p>
      <w:pPr>
        <w:pStyle w:val="Heading3"/>
      </w:pPr>
      <w:r>
        <w:t xml:space="preserve">4.2 Concrete Durability Testing</w:t>
      </w:r>
    </w:p>
    <w:p>
      <w:pPr>
        <w:pStyle w:val="FirstParagraph"/>
      </w:pPr>
      <w:r>
        <w:t xml:space="preserve">Given the aggressive environment of Qatar Doha, concrete mixes must be designed for high durability. The Civil Engineer will oversee the following tests:</w:t>
      </w:r>
    </w:p>
    <w:p>
      <w:pPr>
        <w:numPr>
          <w:ilvl w:val="0"/>
          <w:numId w:val="1003"/>
        </w:numPr>
        <w:pStyle w:val="Compact"/>
      </w:pPr>
      <w:r>
        <w:rPr>
          <w:bCs/>
          <w:b/>
        </w:rPr>
        <w:t xml:space="preserve">Chloride Ion Penetration Test:</w:t>
      </w:r>
      <w:r>
        <w:t xml:space="preserve"> </w:t>
      </w:r>
      <w:r>
        <w:t xml:space="preserve">To measure the resistance of concrete to chloride ingress from seawater and saline soil.</w:t>
      </w:r>
    </w:p>
    <w:p>
      <w:pPr>
        <w:numPr>
          <w:ilvl w:val="0"/>
          <w:numId w:val="1003"/>
        </w:numPr>
        <w:pStyle w:val="Compact"/>
      </w:pPr>
      <w:r>
        <w:rPr>
          <w:bCs/>
          <w:b/>
        </w:rPr>
        <w:t xml:space="preserve">Sulfate Resistance Test:</w:t>
      </w:r>
      <w:r>
        <w:t xml:space="preserve"> </w:t>
      </w:r>
      <w:r>
        <w:t xml:space="preserve">To ensure the concrete can withstand sulfate attack from the soil.</w:t>
      </w:r>
    </w:p>
    <w:p>
      <w:pPr>
        <w:numPr>
          <w:ilvl w:val="0"/>
          <w:numId w:val="1003"/>
        </w:numPr>
        <w:pStyle w:val="Compact"/>
      </w:pPr>
      <w:r>
        <w:rPr>
          <w:bCs/>
          <w:b/>
        </w:rPr>
        <w:t xml:space="preserve">Thermal Cracking Simulation:</w:t>
      </w:r>
      <w:r>
        <w:t xml:space="preserve"> </w:t>
      </w:r>
      <w:r>
        <w:t xml:space="preserve">Concrete specimens will be cured under controlled high-temperature conditions to simulate summer construction in Doha. Cracking patterns will be monitored and documented.</w:t>
      </w:r>
    </w:p>
    <w:bookmarkEnd w:id="25"/>
    <w:bookmarkStart w:id="26" w:name="structural-load-testing"/>
    <w:p>
      <w:pPr>
        <w:pStyle w:val="Heading3"/>
      </w:pPr>
      <w:r>
        <w:t xml:space="preserve">4.3 Structural Load Testing</w:t>
      </w:r>
    </w:p>
    <w:p>
      <w:pPr>
        <w:pStyle w:val="FirstParagraph"/>
      </w:pPr>
      <w:r>
        <w:t xml:space="preserve">Structural elements, including columns and beams, will undergo load testing to verify their capacity to withstand design loads. This includes:</w:t>
      </w:r>
    </w:p>
    <w:p>
      <w:pPr>
        <w:numPr>
          <w:ilvl w:val="0"/>
          <w:numId w:val="1004"/>
        </w:numPr>
        <w:pStyle w:val="Compact"/>
      </w:pPr>
      <w:r>
        <w:rPr>
          <w:bCs/>
          <w:b/>
        </w:rPr>
        <w:t xml:space="preserve">Compression Testing:</w:t>
      </w:r>
      <w:r>
        <w:t xml:space="preserve"> </w:t>
      </w:r>
      <w:r>
        <w:t xml:space="preserve">On concrete cylinders and cubes at 7, 14, and 28 days.</w:t>
      </w:r>
    </w:p>
    <w:p>
      <w:pPr>
        <w:numPr>
          <w:ilvl w:val="0"/>
          <w:numId w:val="1004"/>
        </w:numPr>
        <w:pStyle w:val="Compact"/>
      </w:pPr>
      <w:r>
        <w:rPr>
          <w:bCs/>
          <w:b/>
        </w:rPr>
        <w:t xml:space="preserve">Tensile Testing:</w:t>
      </w:r>
      <w:r>
        <w:t xml:space="preserve"> </w:t>
      </w:r>
      <w:r>
        <w:t xml:space="preserve">On steel reinforcement bars to ensure they meet yield strength requirements.</w:t>
      </w:r>
    </w:p>
    <w:bookmarkEnd w:id="26"/>
    <w:bookmarkEnd w:id="27"/>
    <w:bookmarkStart w:id="28" w:name="data-collection-and-reporting"/>
    <w:p>
      <w:pPr>
        <w:pStyle w:val="Heading2"/>
      </w:pPr>
      <w:r>
        <w:t xml:space="preserve">5. Data Collection and Reporting</w:t>
      </w:r>
    </w:p>
    <w:p>
      <w:pPr>
        <w:pStyle w:val="FirstParagraph"/>
      </w:pPr>
      <w:r>
        <w:t xml:space="preserve">All data collected during the experiments must be recorded accurately and promptly. The Civil Engineer is responsible for compiling the results into a comprehensive report. The report should include:</w:t>
      </w:r>
    </w:p>
    <w:p>
      <w:pPr>
        <w:numPr>
          <w:ilvl w:val="0"/>
          <w:numId w:val="1005"/>
        </w:numPr>
        <w:pStyle w:val="Compact"/>
      </w:pPr>
      <w:r>
        <w:t xml:space="preserve">Detailed methodology used for each test.</w:t>
      </w:r>
    </w:p>
    <w:p>
      <w:pPr>
        <w:numPr>
          <w:ilvl w:val="0"/>
          <w:numId w:val="1005"/>
        </w:numPr>
        <w:pStyle w:val="Compact"/>
      </w:pPr>
      <w:r>
        <w:t xml:space="preserve">Raw data and calculations.</w:t>
      </w:r>
    </w:p>
    <w:p>
      <w:pPr>
        <w:numPr>
          <w:ilvl w:val="0"/>
          <w:numId w:val="1005"/>
        </w:numPr>
        <w:pStyle w:val="Compact"/>
      </w:pPr>
      <w:r>
        <w:t xml:space="preserve">Comparison of results with specified standards.</w:t>
      </w:r>
    </w:p>
    <w:p>
      <w:pPr>
        <w:numPr>
          <w:ilvl w:val="0"/>
          <w:numId w:val="1005"/>
        </w:numPr>
        <w:pStyle w:val="Compact"/>
      </w:pPr>
      <w:r>
        <w:t xml:space="preserve">Recommendations for design modifications or material adjustments.</w:t>
      </w:r>
    </w:p>
    <w:p>
      <w:pPr>
        <w:pStyle w:val="FirstParagraph"/>
      </w:pPr>
      <w:r>
        <w:t xml:space="preserve">The report must be submitted to the project stakeholders and relevant authorities in Doha within 14 days of completing the tests.</w:t>
      </w:r>
    </w:p>
    <w:bookmarkEnd w:id="28"/>
    <w:bookmarkStart w:id="29" w:name="risk-management"/>
    <w:p>
      <w:pPr>
        <w:pStyle w:val="Heading2"/>
      </w:pPr>
      <w:r>
        <w:t xml:space="preserve">6. Risk Management</w:t>
      </w:r>
    </w:p>
    <w:p>
      <w:pPr>
        <w:pStyle w:val="FirstParagraph"/>
      </w:pPr>
      <w:r>
        <w:t xml:space="preserve">Potential risks associated with this experiment protocol include equipment failure, inaccurate data collection, and safety incidents. Mitigation strategies include:</w:t>
      </w:r>
    </w:p>
    <w:p>
      <w:pPr>
        <w:numPr>
          <w:ilvl w:val="0"/>
          <w:numId w:val="1006"/>
        </w:numPr>
        <w:pStyle w:val="Compact"/>
      </w:pPr>
      <w:r>
        <w:t xml:space="preserve">Regular calibration and maintenance of testing equipment.</w:t>
      </w:r>
    </w:p>
    <w:p>
      <w:pPr>
        <w:numPr>
          <w:ilvl w:val="0"/>
          <w:numId w:val="1006"/>
        </w:numPr>
        <w:pStyle w:val="Compact"/>
      </w:pPr>
      <w:r>
        <w:t xml:space="preserve">Training of personnel on proper testing procedures.</w:t>
      </w:r>
    </w:p>
    <w:p>
      <w:pPr>
        <w:numPr>
          <w:ilvl w:val="0"/>
          <w:numId w:val="1006"/>
        </w:numPr>
        <w:pStyle w:val="Compact"/>
      </w:pPr>
      <w:r>
        <w:t xml:space="preserve">Implementation of strict safety protocols and emergency response plans.</w:t>
      </w:r>
    </w:p>
    <w:bookmarkEnd w:id="29"/>
    <w:bookmarkStart w:id="30" w:name="conclusion"/>
    <w:p>
      <w:pPr>
        <w:pStyle w:val="Heading2"/>
      </w:pPr>
      <w:r>
        <w:t xml:space="preserve">7. Conclusion</w:t>
      </w:r>
    </w:p>
    <w:p>
      <w:pPr>
        <w:pStyle w:val="FirstParagraph"/>
      </w:pPr>
      <w:r>
        <w:t xml:space="preserve">This Experiment Protocol provides a structured approach to ensuring the safety, durability, and compliance of construction projects in Qatar Doha. By adhering to these procedures, the Civil Engineer can mitigate the risks associated with the local environment and deliver high-quality infrastructure that meets the needs of the growing city. Continuous monitoring and adaptation of these protocols are essential to address emerging challenges in the field of civil engineering.</w:t>
      </w:r>
    </w:p>
    <w:bookmarkEnd w:id="30"/>
    <w:p>
      <w:pPr>
        <w:pStyle w:val="BodyText"/>
      </w:pPr>
      <w:r>
        <w:t xml:space="preserve">© 2024 Civil Engineering Department. All rights reserved. 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and Structural Assessment for High-Rise Construction in Qatar Doha</dc:title>
  <dc:creator/>
  <dc:language>en</dc:language>
  <cp:keywords/>
  <dcterms:created xsi:type="dcterms:W3CDTF">2026-10-10T02:21:23Z</dcterms:created>
  <dcterms:modified xsi:type="dcterms:W3CDTF">2026-10-10T02:21:23Z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