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Seoul</w:t>
      </w:r>
    </w:p>
    <w:bookmarkStart w:id="20" w:name="X584c5484c32f4d087a8439c24e4adf8c9f09271"/>
    <w:p>
      <w:pPr>
        <w:pStyle w:val="Heading1"/>
      </w:pPr>
      <w:r>
        <w:t xml:space="preserve">Experiment Protocol: High-Density Urban Structural Integrity Assessment</w:t>
      </w:r>
    </w:p>
    <w:p>
      <w:pPr>
        <w:pStyle w:val="FirstParagraph"/>
      </w:pPr>
      <w:r>
        <w:rPr>
          <w:bCs/>
          <w:b/>
        </w:rPr>
        <w:t xml:space="preserve">Protocol ID:</w:t>
      </w:r>
      <w:r>
        <w:t xml:space="preserve"> </w:t>
      </w:r>
      <w:r>
        <w:t xml:space="preserve">SE-CE-2023-004</w:t>
      </w:r>
    </w:p>
    <w:p>
      <w:pPr>
        <w:pStyle w:val="BodyText"/>
      </w:pPr>
      <w:r>
        <w:rPr>
          <w:bCs/>
          <w:b/>
        </w:rPr>
        <w:t xml:space="preserve">Location:</w:t>
      </w:r>
      <w:r>
        <w:t xml:space="preserve"> </w:t>
      </w:r>
      <w:r>
        <w:t xml:space="preserve">South Korea, Seoul Metropolitan Area</w:t>
      </w:r>
    </w:p>
    <w:p>
      <w:pPr>
        <w:pStyle w:val="BodyText"/>
      </w:pPr>
      <w:r>
        <w:rPr>
          <w:bCs/>
          <w:b/>
        </w:rPr>
        <w:t xml:space="preserve">Discipline:</w:t>
      </w:r>
      <w:r>
        <w:t xml:space="preserve"> </w:t>
      </w:r>
      <w:r>
        <w:t xml:space="preserve">Civil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non-destructive testing (NDT) and structural health monitoring on reinforced concrete infrastructure within the urban environment of South Korea, specifically Seoul. As a Civil Engineer operating in this region, one must account for the unique geological conditions, high population density, and strict regulatory frameworks governing construction and safety.</w:t>
      </w:r>
    </w:p>
    <w:p>
      <w:pPr>
        <w:pStyle w:val="BodyText"/>
      </w:pPr>
      <w:r>
        <w:t xml:space="preserve">The primary objective of this experiment is to evaluate the residual structural capacity of aging high-rise residential complexes (Apateum) and commercial buildings constructed between 1990 and 2005. These structures are subject to specific stressors prevalent in Seoul, including seismic activity from the nearby fault lines, soil liquefaction risks due to the Han River basin geology, and thermal cycling. This protocol ensures that data collection is rigorous, reproducible, and compliant with the Korean Building Code (KBC) and the Enforcement Decree of the Building Act.</w:t>
      </w:r>
    </w:p>
    <w:bookmarkEnd w:id="21"/>
    <w:bookmarkStart w:id="22" w:name="scope-and-site-selection"/>
    <w:p>
      <w:pPr>
        <w:pStyle w:val="Heading2"/>
      </w:pPr>
      <w:r>
        <w:t xml:space="preserve">2. Scope and Site Selection</w:t>
      </w:r>
    </w:p>
    <w:p>
      <w:pPr>
        <w:pStyle w:val="FirstParagraph"/>
      </w:pPr>
      <w:r>
        <w:t xml:space="preserve">The scope of this experiment is limited to reinforced concrete frames and shear walls. The site selection criteria are tailored to the specific urban landscape of Seoul. Selected sites must be located in districts with high structural density, such as Gangnam-gu or Mapo-gu, where vibration transmission from the Seoul Metro system is a critical variable.</w:t>
      </w:r>
    </w:p>
    <w:p>
      <w:pPr>
        <w:pStyle w:val="BodyText"/>
      </w:pPr>
      <w:r>
        <w:t xml:space="preserve">The Civil Engineer must verify that the selected building has not undergone unauthorized modifications, a common issue in Seoul's older housing stock. The experiment will focus on ground-floor columns and basement retaining walls, which are most susceptible to hydrostatic pressure and soil movement.</w:t>
      </w:r>
    </w:p>
    <w:bookmarkEnd w:id="22"/>
    <w:bookmarkStart w:id="23" w:name="regulatory-compliance-and-safety"/>
    <w:p>
      <w:pPr>
        <w:pStyle w:val="Heading2"/>
      </w:pPr>
      <w:r>
        <w:t xml:space="preserve">3. Regulatory Compliance and Safety</w:t>
      </w:r>
    </w:p>
    <w:p>
      <w:pPr>
        <w:pStyle w:val="FirstParagraph"/>
      </w:pPr>
      <w:r>
        <w:t xml:space="preserve">All procedures must adhere to the Occupational Safety and Health Act of South Korea. Given the dense nature of Seoul, safety perimeters must be established to protect pedestrians and adjacent properties. The Civil Engineer is responsible for obtaining necessary permits from the local district office (Gu Office) prior to commencing any intrusive testing.</w:t>
      </w:r>
    </w:p>
    <w:p>
      <w:pPr>
        <w:pStyle w:val="BodyText"/>
      </w:pPr>
      <w:r>
        <w:rPr>
          <w:bCs/>
          <w:b/>
        </w:rPr>
        <w:t xml:space="preserve">Warning:</w:t>
      </w:r>
      <w:r>
        <w:t xml:space="preserve"> </w:t>
      </w:r>
      <w:r>
        <w:t xml:space="preserve">In Seoul, noise regulations are strictly enforced. Testing equipment generating noise above 65 decibels must not be operated between 10:00 PM and 7:00 AM. Violations can result in immediate work stoppage.</w:t>
      </w:r>
    </w:p>
    <w:bookmarkEnd w:id="23"/>
    <w:bookmarkStart w:id="28" w:name="methodology"/>
    <w:p>
      <w:pPr>
        <w:pStyle w:val="Heading2"/>
      </w:pPr>
      <w:r>
        <w:t xml:space="preserve">4. Methodology</w:t>
      </w:r>
    </w:p>
    <w:bookmarkStart w:id="24" w:name="visual-inspection"/>
    <w:p>
      <w:pPr>
        <w:pStyle w:val="Heading3"/>
      </w:pPr>
      <w:r>
        <w:t xml:space="preserve">4.1. Visual Inspection</w:t>
      </w:r>
    </w:p>
    <w:p>
      <w:pPr>
        <w:pStyle w:val="FirstParagraph"/>
      </w:pPr>
      <w:r>
        <w:t xml:space="preserve">A comprehensive visual survey will be conducted to identify surface cracks, spalling, and corrosion of reinforcement. Special attention will be paid to signs of alkali-silica reaction (ASR), which can be exacerbated by the specific aggregate types used in Korean construction during the target era.</w:t>
      </w:r>
    </w:p>
    <w:bookmarkEnd w:id="24"/>
    <w:bookmarkStart w:id="25" w:name="rebound-hammer-test"/>
    <w:p>
      <w:pPr>
        <w:pStyle w:val="Heading3"/>
      </w:pPr>
      <w:r>
        <w:t xml:space="preserve">4.2. Rebound Hammer Test</w:t>
      </w:r>
    </w:p>
    <w:p>
      <w:pPr>
        <w:pStyle w:val="FirstParagraph"/>
      </w:pPr>
      <w:r>
        <w:t xml:space="preserve">To estimate the compressive strength of the concrete, a rebound hammer test will be performed. The Civil Engineer must calibrate the device on-site. A minimum of 10 readings per structural element is required. Data must be adjusted for the testing position (horizontal, vertical up, vertical down) as per ASTM C805 standards, which are widely accepted in Korean engineering practice.</w:t>
      </w:r>
    </w:p>
    <w:bookmarkEnd w:id="25"/>
    <w:bookmarkStart w:id="26" w:name="ultrasonic-pulse-velocity-upv-test"/>
    <w:p>
      <w:pPr>
        <w:pStyle w:val="Heading3"/>
      </w:pPr>
      <w:r>
        <w:t xml:space="preserve">4.3. Ultrasonic Pulse Velocity (UPV) Test</w:t>
      </w:r>
    </w:p>
    <w:p>
      <w:pPr>
        <w:pStyle w:val="FirstParagraph"/>
      </w:pPr>
      <w:r>
        <w:t xml:space="preserve">UPV testing will be utilized to assess the homogeneity of the concrete and detect internal voids or cracks. This is particularly relevant in Seoul due to the prevalence of "sand-only concrete" scandals in the past. The transmitter and receiver transducers will be placed at opposite ends of the structural member. The velocity of the pulse will be recorded and compared against baseline values for high-strength concrete.</w:t>
      </w:r>
    </w:p>
    <w:bookmarkEnd w:id="26"/>
    <w:bookmarkStart w:id="27" w:name="half-cell-potential-test"/>
    <w:p>
      <w:pPr>
        <w:pStyle w:val="Heading3"/>
      </w:pPr>
      <w:r>
        <w:t xml:space="preserve">4.4. Half-Cell Potential Test</w:t>
      </w:r>
    </w:p>
    <w:p>
      <w:pPr>
        <w:pStyle w:val="FirstParagraph"/>
      </w:pPr>
      <w:r>
        <w:t xml:space="preserve">To evaluate the risk of reinforcement corrosion, a half-cell potential test will be conducted. This is critical in areas near the Han River where chloride ingress from de-icing salts or humidity is a concern. The reference electrode will be placed on the concrete surface at a grid spacing of 300mm x 300mm.</w:t>
      </w:r>
    </w:p>
    <w:bookmarkEnd w:id="27"/>
    <w:bookmarkEnd w:id="28"/>
    <w:bookmarkStart w:id="29" w:name="data-analysis-and-reporting"/>
    <w:p>
      <w:pPr>
        <w:pStyle w:val="Heading2"/>
      </w:pPr>
      <w:r>
        <w:t xml:space="preserve">5. Data Analysis and Reporting</w:t>
      </w:r>
    </w:p>
    <w:p>
      <w:pPr>
        <w:pStyle w:val="FirstParagraph"/>
      </w:pPr>
      <w:r>
        <w:t xml:space="preserve">All data collected must be analyzed using statistical methods to determine the mean and standard deviation of material properties. The Civil Engineer must correlate the NDT results with the original design drawings, which are archived at the Seoul Metropolitan Government's building information system.</w:t>
      </w:r>
    </w:p>
    <w:p>
      <w:pPr>
        <w:pStyle w:val="BodyText"/>
      </w:pPr>
      <w:r>
        <w:t xml:space="preserve">The final report must be written in both English and Korean to satisfy local regulatory requirements. It must include a risk assessment matrix categorizing the structural integrity as "Safe," "Monitoring Required," or "Immediate Repair Needed."</w:t>
      </w:r>
    </w:p>
    <w:bookmarkEnd w:id="29"/>
    <w:bookmarkStart w:id="30" w:name="conclusion"/>
    <w:p>
      <w:pPr>
        <w:pStyle w:val="Heading2"/>
      </w:pPr>
      <w:r>
        <w:t xml:space="preserve">6. Conclusion</w:t>
      </w:r>
    </w:p>
    <w:p>
      <w:pPr>
        <w:pStyle w:val="FirstParagraph"/>
      </w:pPr>
      <w:r>
        <w:t xml:space="preserve">This Experiment Protocol provides a robust framework for Civil Engineers to assess structural integrity in the complex urban environment of South Korea, Seoul. By adhering to these guidelines, engineers can ensure the safety of the public and the longevity of the city's infrastructure while remaining compliant with national and local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Seoul</dc:title>
  <dc:creator/>
  <dc:language>en</dc:language>
  <cp:keywords/>
  <dcterms:created xsi:type="dcterms:W3CDTF">2026-10-10T04:09:18Z</dcterms:created>
  <dcterms:modified xsi:type="dcterms:W3CDTF">2026-10-10T04:09:18Z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