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Stability</w:t>
      </w:r>
      <w:r>
        <w:t xml:space="preserve"> </w:t>
      </w:r>
      <w:r>
        <w:t xml:space="preserve">Assessment</w:t>
      </w:r>
      <w:r>
        <w:t xml:space="preserve"> </w:t>
      </w:r>
      <w:r>
        <w:t xml:space="preserve">for</w:t>
      </w:r>
      <w:r>
        <w:t xml:space="preserve"> </w:t>
      </w:r>
      <w:r>
        <w:t xml:space="preserve">High-Rise</w:t>
      </w:r>
      <w:r>
        <w:t xml:space="preserve"> </w:t>
      </w:r>
      <w:r>
        <w:t xml:space="preserve">Foundations</w:t>
      </w:r>
      <w:r>
        <w:t xml:space="preserve"> </w:t>
      </w:r>
      <w:r>
        <w:t xml:space="preserve">in</w:t>
      </w:r>
      <w:r>
        <w:t xml:space="preserve"> </w:t>
      </w:r>
      <w:r>
        <w:t xml:space="preserve">Bangkok,</w:t>
      </w:r>
      <w:r>
        <w:t xml:space="preserve"> </w:t>
      </w:r>
      <w:r>
        <w:t xml:space="preserve">Thailand</w:t>
      </w:r>
    </w:p>
    <w:bookmarkStart w:id="20" w:name="X5db2bffcaaf4e5664466186afcf0e8cc45dd08c"/>
    <w:p>
      <w:pPr>
        <w:pStyle w:val="Heading1"/>
      </w:pPr>
      <w:r>
        <w:t xml:space="preserve">Experiment Protocol: Geotechnical Stability Assessment for High-Rise Foundations in Bangkok, Thailand</w:t>
      </w:r>
    </w:p>
    <w:p>
      <w:pPr>
        <w:pStyle w:val="FirstParagraph"/>
      </w:pPr>
      <w:r>
        <w:rPr>
          <w:bCs/>
          <w:b/>
        </w:rPr>
        <w:t xml:space="preserve">Protocol ID:</w:t>
      </w:r>
      <w:r>
        <w:t xml:space="preserve"> </w:t>
      </w:r>
      <w:r>
        <w:t xml:space="preserve">TH-BKK-GEOTECH-2024-001</w:t>
      </w:r>
    </w:p>
    <w:p>
      <w:pPr>
        <w:pStyle w:val="BodyText"/>
      </w:pPr>
      <w:r>
        <w:rPr>
          <w:bCs/>
          <w:b/>
        </w:rPr>
        <w:t xml:space="preserve">Prepared By:</w:t>
      </w:r>
      <w:r>
        <w:t xml:space="preserve"> </w:t>
      </w:r>
      <w:r>
        <w:t xml:space="preserve">Senior Civil Engineer, Geotechnical Division</w:t>
      </w:r>
    </w:p>
    <w:p>
      <w:pPr>
        <w:pStyle w:val="BodyText"/>
      </w:pPr>
      <w:r>
        <w:rPr>
          <w:bCs/>
          <w:b/>
        </w:rPr>
        <w:t xml:space="preserve">Location:</w:t>
      </w:r>
      <w:r>
        <w:t xml:space="preserve"> </w:t>
      </w:r>
      <w:r>
        <w:t xml:space="preserve">Bangkok Metropolitan Region, Thailand</w:t>
      </w:r>
    </w:p>
    <w:p>
      <w:pPr>
        <w:pStyle w:val="BodyText"/>
      </w:pPr>
      <w:r>
        <w:rPr>
          <w:bCs/>
          <w:b/>
        </w:rPr>
        <w:t xml:space="preserve">Date:</w:t>
      </w:r>
      <w:r>
        <w:t xml:space="preserve"> </w:t>
      </w:r>
      <w:r>
        <w:t xml:space="preserve">October 24, 2024</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procedures required for the in-situ and laboratory testing of soil samples intended for the foundation design of a high-rise commercial structure in the central district of Bangkok, Thailand. The primary objective is to evaluate the bearing capacity, settlement potential, and liquefaction risk of the subsurface strata, which are characterized by thick layers of soft Bangkok Clay.</w:t>
      </w:r>
    </w:p>
    <w:p>
      <w:pPr>
        <w:pStyle w:val="BodyText"/>
      </w:pPr>
      <w:r>
        <w:t xml:space="preserve">As a Civil Engineer operating in this region, it is imperative to account for the unique hydrogeological conditions of the Chao Phraya River basin. This protocol ensures compliance with the Thai Industrial Standards (TIS) and the Building Control Act of Thailand.</w:t>
      </w:r>
    </w:p>
    <w:bookmarkEnd w:id="21"/>
    <w:bookmarkStart w:id="22" w:name="scope-and-site-context"/>
    <w:p>
      <w:pPr>
        <w:pStyle w:val="Heading2"/>
      </w:pPr>
      <w:r>
        <w:t xml:space="preserve">2. Scope and Site Context</w:t>
      </w:r>
    </w:p>
    <w:p>
      <w:pPr>
        <w:pStyle w:val="FirstParagraph"/>
      </w:pPr>
      <w:r>
        <w:t xml:space="preserve">The scope of this experiment covers the investigation of soil layers up to a depth of 60 meters below ground level (BGL). The site is located in a high-density urban area of Bangkok, where groundwater levels are historically high and soil consolidation is a critical concern. The experiment will focus on:</w:t>
      </w:r>
    </w:p>
    <w:p>
      <w:pPr>
        <w:numPr>
          <w:ilvl w:val="0"/>
          <w:numId w:val="1001"/>
        </w:numPr>
        <w:pStyle w:val="Compact"/>
      </w:pPr>
      <w:r>
        <w:t xml:space="preserve">Determination of soil stratigraphy.</w:t>
      </w:r>
    </w:p>
    <w:p>
      <w:pPr>
        <w:numPr>
          <w:ilvl w:val="0"/>
          <w:numId w:val="1001"/>
        </w:numPr>
        <w:pStyle w:val="Compact"/>
      </w:pPr>
      <w:r>
        <w:t xml:space="preserve">Measurement of undrained shear strength of soft clay.</w:t>
      </w:r>
    </w:p>
    <w:p>
      <w:pPr>
        <w:numPr>
          <w:ilvl w:val="0"/>
          <w:numId w:val="1001"/>
        </w:numPr>
        <w:pStyle w:val="Compact"/>
      </w:pPr>
      <w:r>
        <w:t xml:space="preserve">Assessment of consolidation parameters to predict long-term settlement.</w:t>
      </w:r>
    </w:p>
    <w:p>
      <w:pPr>
        <w:numPr>
          <w:ilvl w:val="0"/>
          <w:numId w:val="1001"/>
        </w:numPr>
        <w:pStyle w:val="Compact"/>
      </w:pPr>
      <w:r>
        <w:t xml:space="preserve">Evaluation of groundwater impact on foundation stability.</w:t>
      </w:r>
    </w:p>
    <w:bookmarkEnd w:id="22"/>
    <w:bookmarkStart w:id="23" w:name="safety-and-regulatory-compliance"/>
    <w:p>
      <w:pPr>
        <w:pStyle w:val="Heading2"/>
      </w:pPr>
      <w:r>
        <w:t xml:space="preserve">3. Safety and Regulatory Compliance</w:t>
      </w:r>
    </w:p>
    <w:p>
      <w:pPr>
        <w:pStyle w:val="FirstParagraph"/>
      </w:pPr>
      <w:r>
        <w:rPr>
          <w:bCs/>
          <w:b/>
        </w:rPr>
        <w:t xml:space="preserve">Warning:</w:t>
      </w:r>
      <w:r>
        <w:t xml:space="preserve"> </w:t>
      </w:r>
      <w:r>
        <w:t xml:space="preserve">All personnel must adhere to the Occupational Safety, Health, and Environment (OSHE) regulations of Thailand.</w:t>
      </w:r>
    </w:p>
    <w:p>
      <w:pPr>
        <w:pStyle w:val="BodyText"/>
      </w:pPr>
      <w:r>
        <w:t xml:space="preserve">Before commencing any fieldwork, the Civil Engineer must ensure that:</w:t>
      </w:r>
    </w:p>
    <w:p>
      <w:pPr>
        <w:numPr>
          <w:ilvl w:val="0"/>
          <w:numId w:val="1002"/>
        </w:numPr>
        <w:pStyle w:val="Compact"/>
      </w:pPr>
      <w:r>
        <w:t xml:space="preserve">Permits have been obtained from the Bangkok Metropolitan Administration (BMA).</w:t>
      </w:r>
    </w:p>
    <w:p>
      <w:pPr>
        <w:numPr>
          <w:ilvl w:val="0"/>
          <w:numId w:val="1002"/>
        </w:numPr>
        <w:pStyle w:val="Compact"/>
      </w:pPr>
      <w:r>
        <w:t xml:space="preserve">Underground utility maps are reviewed to prevent damage to existing infrastructure.</w:t>
      </w:r>
    </w:p>
    <w:p>
      <w:pPr>
        <w:numPr>
          <w:ilvl w:val="0"/>
          <w:numId w:val="1002"/>
        </w:numPr>
        <w:pStyle w:val="Compact"/>
      </w:pPr>
      <w:r>
        <w:t xml:space="preserve">Personal Protective Equipment (PPE), including helmets, high-visibility vests, and safety boots, is worn at all times.</w:t>
      </w:r>
    </w:p>
    <w:p>
      <w:pPr>
        <w:numPr>
          <w:ilvl w:val="0"/>
          <w:numId w:val="1002"/>
        </w:numPr>
        <w:pStyle w:val="Compact"/>
      </w:pPr>
      <w:r>
        <w:t xml:space="preserve">Emergency protocols are established for potential cave-ins or equipment failure.</w:t>
      </w:r>
    </w:p>
    <w:bookmarkEnd w:id="23"/>
    <w:bookmarkStart w:id="24" w:name="equipment-and-materials"/>
    <w:p>
      <w:pPr>
        <w:pStyle w:val="Heading2"/>
      </w:pPr>
      <w:r>
        <w:t xml:space="preserve">4. Equipment and Materials</w:t>
      </w:r>
    </w:p>
    <w:p>
      <w:pPr>
        <w:pStyle w:val="FirstParagraph"/>
      </w:pPr>
      <w:r>
        <w:t xml:space="preserve">The following equipment is required to execute this protocol effectively: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Drilling Rig</w:t>
            </w:r>
          </w:p>
        </w:tc>
        <w:tc>
          <w:tcPr/>
          <w:p>
            <w:pPr>
              <w:pStyle w:val="Compact"/>
              <w:jc w:val="left"/>
            </w:pPr>
            <w:r>
              <w:t xml:space="preserve">Rotary percussion capable of 60m depth</w:t>
            </w:r>
          </w:p>
        </w:tc>
        <w:tc>
          <w:tcPr/>
          <w:p>
            <w:pPr>
              <w:pStyle w:val="Compact"/>
              <w:jc w:val="left"/>
            </w:pPr>
            <w:r>
              <w:t xml:space="preserve">1 Unit</w:t>
            </w:r>
          </w:p>
        </w:tc>
      </w:tr>
      <w:tr>
        <w:tc>
          <w:tcPr/>
          <w:p>
            <w:pPr>
              <w:pStyle w:val="Compact"/>
              <w:jc w:val="left"/>
            </w:pPr>
            <w:r>
              <w:t xml:space="preserve">Standard Penetration Test (SPT) Sampler</w:t>
            </w:r>
          </w:p>
        </w:tc>
        <w:tc>
          <w:tcPr/>
          <w:p>
            <w:pPr>
              <w:pStyle w:val="Compact"/>
              <w:jc w:val="left"/>
            </w:pPr>
            <w:r>
              <w:t xml:space="preserve">TIS 1050-2539 compliant</w:t>
            </w:r>
          </w:p>
        </w:tc>
        <w:tc>
          <w:tcPr/>
          <w:p>
            <w:pPr>
              <w:pStyle w:val="Compact"/>
              <w:jc w:val="left"/>
            </w:pPr>
            <w:r>
              <w:t xml:space="preserve">2 Sets</w:t>
            </w:r>
          </w:p>
        </w:tc>
      </w:tr>
      <w:tr>
        <w:tc>
          <w:tcPr/>
          <w:p>
            <w:pPr>
              <w:pStyle w:val="Compact"/>
              <w:jc w:val="left"/>
            </w:pPr>
            <w:r>
              <w:t xml:space="preserve">Shelby Tube Sampler</w:t>
            </w:r>
          </w:p>
        </w:tc>
        <w:tc>
          <w:tcPr/>
          <w:p>
            <w:pPr>
              <w:pStyle w:val="Compact"/>
              <w:jc w:val="left"/>
            </w:pPr>
            <w:r>
              <w:t xml:space="preserve">Thin-walled for undisturbed clay samples</w:t>
            </w:r>
          </w:p>
        </w:tc>
        <w:tc>
          <w:tcPr/>
          <w:p>
            <w:pPr>
              <w:pStyle w:val="Compact"/>
              <w:jc w:val="left"/>
            </w:pPr>
            <w:r>
              <w:t xml:space="preserve">10 Units</w:t>
            </w:r>
          </w:p>
        </w:tc>
      </w:tr>
      <w:tr>
        <w:tc>
          <w:tcPr/>
          <w:p>
            <w:pPr>
              <w:pStyle w:val="Compact"/>
              <w:jc w:val="left"/>
            </w:pPr>
            <w:r>
              <w:t xml:space="preserve">Cone Penetration Test (CPT) Rig</w:t>
            </w:r>
          </w:p>
        </w:tc>
        <w:tc>
          <w:tcPr/>
          <w:p>
            <w:pPr>
              <w:pStyle w:val="Compact"/>
              <w:jc w:val="left"/>
            </w:pPr>
            <w:r>
              <w:t xml:space="preserve">Electric cone with pore pressure measurement</w:t>
            </w:r>
          </w:p>
        </w:tc>
        <w:tc>
          <w:tcPr/>
          <w:p>
            <w:pPr>
              <w:pStyle w:val="Compact"/>
              <w:jc w:val="left"/>
            </w:pPr>
            <w:r>
              <w:t xml:space="preserve">1 Unit</w:t>
            </w:r>
          </w:p>
        </w:tc>
      </w:tr>
      <w:tr>
        <w:tc>
          <w:tcPr/>
          <w:p>
            <w:pPr>
              <w:pStyle w:val="Compact"/>
              <w:jc w:val="left"/>
            </w:pPr>
            <w:r>
              <w:t xml:space="preserve">Groundwater Monitoring Wells</w:t>
            </w:r>
          </w:p>
        </w:tc>
        <w:tc>
          <w:tcPr/>
          <w:p>
            <w:pPr>
              <w:pStyle w:val="Compact"/>
              <w:jc w:val="left"/>
            </w:pPr>
            <w:r>
              <w:t xml:space="preserve">PVC casing with perforated screens</w:t>
            </w:r>
          </w:p>
        </w:tc>
        <w:tc>
          <w:tcPr/>
          <w:p>
            <w:pPr>
              <w:pStyle w:val="Compact"/>
              <w:jc w:val="left"/>
            </w:pPr>
            <w:r>
              <w:t xml:space="preserve">3 Units</w:t>
            </w:r>
          </w:p>
        </w:tc>
      </w:tr>
    </w:tbl>
    <w:bookmarkEnd w:id="24"/>
    <w:bookmarkStart w:id="29" w:name="experimental-procedure"/>
    <w:p>
      <w:pPr>
        <w:pStyle w:val="Heading2"/>
      </w:pPr>
      <w:r>
        <w:t xml:space="preserve">5. Experimental Procedure</w:t>
      </w:r>
    </w:p>
    <w:bookmarkStart w:id="25" w:name="site-preparation"/>
    <w:p>
      <w:pPr>
        <w:pStyle w:val="Heading3"/>
      </w:pPr>
      <w:r>
        <w:t xml:space="preserve">5.1 Site Preparation</w:t>
      </w:r>
    </w:p>
    <w:p>
      <w:pPr>
        <w:pStyle w:val="FirstParagraph"/>
      </w:pPr>
      <w:r>
        <w:t xml:space="preserve">The Civil Engineer shall mark the borehole locations based on the structural grid plan. The area around each borehole must be cleared and leveled. A concrete apron should be constructed to support the drilling rig and prevent soil contamination from surface runoff, which is common during the rainy season in Bangkok.</w:t>
      </w:r>
    </w:p>
    <w:bookmarkEnd w:id="25"/>
    <w:bookmarkStart w:id="26" w:name="drilling-and-sampling"/>
    <w:p>
      <w:pPr>
        <w:pStyle w:val="Heading3"/>
      </w:pPr>
      <w:r>
        <w:t xml:space="preserve">5.2 Drilling and Sampling</w:t>
      </w:r>
    </w:p>
    <w:p>
      <w:pPr>
        <w:pStyle w:val="FirstParagraph"/>
      </w:pPr>
      <w:r>
        <w:t xml:space="preserve">Drilling will proceed using rotary methods with bentonite slurry to stabilize the borehole walls, preventing collapse in the loose sandy layers often found above the Bangkok Clay. Standard Penetration Tests (SPT) will be conducted at every 1.5-meter interval. The N-value (blow count) will be recorded to estimate soil density and strength.</w:t>
      </w:r>
    </w:p>
    <w:p>
      <w:pPr>
        <w:pStyle w:val="BodyText"/>
      </w:pPr>
      <w:r>
        <w:t xml:space="preserve">For the soft clay layers, undisturbed samples will be collected using Shelby tubes. These samples must be sealed immediately with wax to prevent moisture loss, as the water content is a critical parameter for the Bangkok Clay.</w:t>
      </w:r>
    </w:p>
    <w:bookmarkEnd w:id="26"/>
    <w:bookmarkStart w:id="27" w:name="in-situ-testing"/>
    <w:p>
      <w:pPr>
        <w:pStyle w:val="Heading3"/>
      </w:pPr>
      <w:r>
        <w:t xml:space="preserve">5.3 In-Situ Testing</w:t>
      </w:r>
    </w:p>
    <w:p>
      <w:pPr>
        <w:pStyle w:val="FirstParagraph"/>
      </w:pPr>
      <w:r>
        <w:t xml:space="preserve">A Cone Penetration Test (CPT) will be performed at two designated locations. The CPT provides continuous data on soil resistance and pore water pressure. This data is vital for correlating with SPT results and refining the soil profile model. The Civil Engineer must monitor the pore pressure readings closely to identify zones of high excess pore pressure, which indicate potential instability.</w:t>
      </w:r>
    </w:p>
    <w:bookmarkEnd w:id="27"/>
    <w:bookmarkStart w:id="28" w:name="groundwater-monitoring"/>
    <w:p>
      <w:pPr>
        <w:pStyle w:val="Heading3"/>
      </w:pPr>
      <w:r>
        <w:t xml:space="preserve">5.4 Groundwater Monitoring</w:t>
      </w:r>
    </w:p>
    <w:p>
      <w:pPr>
        <w:pStyle w:val="FirstParagraph"/>
      </w:pPr>
      <w:r>
        <w:t xml:space="preserve">Monitoring wells will be installed to measure the static water table level. Readings will be taken daily for one week to account for tidal influences from the Chao Phraya River and seasonal variations. This data is essential for designing dewatering systems and assessing buoyancy forces on the foundation.</w:t>
      </w:r>
    </w:p>
    <w:bookmarkEnd w:id="28"/>
    <w:bookmarkEnd w:id="29"/>
    <w:bookmarkStart w:id="30" w:name="laboratory-analysis"/>
    <w:p>
      <w:pPr>
        <w:pStyle w:val="Heading2"/>
      </w:pPr>
      <w:r>
        <w:t xml:space="preserve">6. Laboratory Analysis</w:t>
      </w:r>
    </w:p>
    <w:p>
      <w:pPr>
        <w:pStyle w:val="FirstParagraph"/>
      </w:pPr>
      <w:r>
        <w:t xml:space="preserve">Collected samples will be transported to an accredited geotechnical laboratory in Thailand. The following tests will be conducted in accordance with TIS standards:</w:t>
      </w:r>
    </w:p>
    <w:p>
      <w:pPr>
        <w:numPr>
          <w:ilvl w:val="0"/>
          <w:numId w:val="1003"/>
        </w:numPr>
        <w:pStyle w:val="Compact"/>
      </w:pPr>
      <w:r>
        <w:rPr>
          <w:bCs/>
          <w:b/>
        </w:rPr>
        <w:t xml:space="preserve">Atterberg Limits:</w:t>
      </w:r>
      <w:r>
        <w:t xml:space="preserve"> </w:t>
      </w:r>
      <w:r>
        <w:t xml:space="preserve">To determine the plasticity of the clay.</w:t>
      </w:r>
    </w:p>
    <w:p>
      <w:pPr>
        <w:numPr>
          <w:ilvl w:val="0"/>
          <w:numId w:val="1003"/>
        </w:numPr>
        <w:pStyle w:val="Compact"/>
      </w:pPr>
      <w:r>
        <w:rPr>
          <w:bCs/>
          <w:b/>
        </w:rPr>
        <w:t xml:space="preserve">Consolidation Test:</w:t>
      </w:r>
      <w:r>
        <w:t xml:space="preserve"> </w:t>
      </w:r>
      <w:r>
        <w:t xml:space="preserve">To determine the compression index and pre-consolidation pressure, crucial for predicting settlement.</w:t>
      </w:r>
    </w:p>
    <w:p>
      <w:pPr>
        <w:numPr>
          <w:ilvl w:val="0"/>
          <w:numId w:val="1003"/>
        </w:numPr>
        <w:pStyle w:val="Compact"/>
      </w:pPr>
      <w:r>
        <w:rPr>
          <w:bCs/>
          <w:b/>
        </w:rPr>
        <w:t xml:space="preserve">Triaxial Shear Test:</w:t>
      </w:r>
      <w:r>
        <w:t xml:space="preserve"> </w:t>
      </w:r>
      <w:r>
        <w:t xml:space="preserve">To determine the shear strength parameters (cohesion and angle of internal friction).</w:t>
      </w:r>
    </w:p>
    <w:p>
      <w:pPr>
        <w:numPr>
          <w:ilvl w:val="0"/>
          <w:numId w:val="1003"/>
        </w:numPr>
        <w:pStyle w:val="Compact"/>
      </w:pPr>
      <w:r>
        <w:rPr>
          <w:bCs/>
          <w:b/>
        </w:rPr>
        <w:t xml:space="preserve">Chemical Analysis:</w:t>
      </w:r>
      <w:r>
        <w:t xml:space="preserve"> </w:t>
      </w:r>
      <w:r>
        <w:t xml:space="preserve">To check for sulfates or chlorides that could corrode concrete foundations.</w:t>
      </w:r>
    </w:p>
    <w:bookmarkEnd w:id="30"/>
    <w:bookmarkStart w:id="31" w:name="data-interpretation-and-reporting"/>
    <w:p>
      <w:pPr>
        <w:pStyle w:val="Heading2"/>
      </w:pPr>
      <w:r>
        <w:t xml:space="preserve">7. Data Interpretation and Reporting</w:t>
      </w:r>
    </w:p>
    <w:p>
      <w:pPr>
        <w:pStyle w:val="FirstParagraph"/>
      </w:pPr>
      <w:r>
        <w:t xml:space="preserve">The Civil Engineer will compile all field and laboratory data into a comprehensive Geotechnical Investigation Report. This report will include:</w:t>
      </w:r>
    </w:p>
    <w:p>
      <w:pPr>
        <w:numPr>
          <w:ilvl w:val="0"/>
          <w:numId w:val="1004"/>
        </w:numPr>
        <w:pStyle w:val="Compact"/>
      </w:pPr>
      <w:r>
        <w:t xml:space="preserve">Soil boring logs and stratigraphic columns.</w:t>
      </w:r>
    </w:p>
    <w:p>
      <w:pPr>
        <w:numPr>
          <w:ilvl w:val="0"/>
          <w:numId w:val="1004"/>
        </w:numPr>
        <w:pStyle w:val="Compact"/>
      </w:pPr>
      <w:r>
        <w:t xml:space="preserve">Graphs of SPT N-values and CPT resistance versus depth.</w:t>
      </w:r>
    </w:p>
    <w:p>
      <w:pPr>
        <w:numPr>
          <w:ilvl w:val="0"/>
          <w:numId w:val="1004"/>
        </w:numPr>
        <w:pStyle w:val="Compact"/>
      </w:pPr>
      <w:r>
        <w:t xml:space="preserve">Calculated allowable bearing capacity for shallow and deep foundations.</w:t>
      </w:r>
    </w:p>
    <w:p>
      <w:pPr>
        <w:numPr>
          <w:ilvl w:val="0"/>
          <w:numId w:val="1004"/>
        </w:numPr>
        <w:pStyle w:val="Compact"/>
      </w:pPr>
      <w:r>
        <w:t xml:space="preserve">Predicted total and differential settlement values.</w:t>
      </w:r>
    </w:p>
    <w:p>
      <w:pPr>
        <w:numPr>
          <w:ilvl w:val="0"/>
          <w:numId w:val="1004"/>
        </w:numPr>
        <w:pStyle w:val="Compact"/>
      </w:pPr>
      <w:r>
        <w:t xml:space="preserve">Recommendations for foundation type (e.g., bored piles, driven piles, or raft foundations).</w:t>
      </w:r>
    </w:p>
    <w:p>
      <w:pPr>
        <w:pStyle w:val="FirstParagraph"/>
      </w:pPr>
      <w:r>
        <w:t xml:space="preserve">Special attention will be given to the interaction between the proposed structure and the surrounding urban environment in Bangkok, ensuring that construction activities do not induce excessive settlement in adjacent buildings.</w:t>
      </w:r>
    </w:p>
    <w:bookmarkEnd w:id="31"/>
    <w:bookmarkStart w:id="32" w:name="conclusion"/>
    <w:p>
      <w:pPr>
        <w:pStyle w:val="Heading2"/>
      </w:pPr>
      <w:r>
        <w:t xml:space="preserve">8. Conclusion</w:t>
      </w:r>
    </w:p>
    <w:p>
      <w:pPr>
        <w:pStyle w:val="FirstParagraph"/>
      </w:pPr>
      <w:r>
        <w:t xml:space="preserve">This Experiment Protocol provides a systematic approach to understanding the complex soil conditions in Bangkok, Thailand. By adhering to these procedures, the Civil Engineer ensures that the foundation design is safe, economical, and compliant with local regulations. The data gathered will form the basis for a successful construction project that withstands the unique geotechnical challenges of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Stability Assessment for High-Rise Foundations in Bangkok, Thailand</dc:title>
  <dc:creator/>
  <dc:language>en</dc:language>
  <cp:keywords/>
  <dcterms:created xsi:type="dcterms:W3CDTF">2026-10-10T04:00:44Z</dcterms:created>
  <dcterms:modified xsi:type="dcterms:W3CDTF">2026-10-10T04:00:44Z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