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Retrofitting</w:t>
      </w:r>
      <w:r>
        <w:t xml:space="preserve"> </w:t>
      </w:r>
      <w:r>
        <w:t xml:space="preserve">of</w:t>
      </w:r>
      <w:r>
        <w:t xml:space="preserve"> </w:t>
      </w:r>
      <w:r>
        <w:t xml:space="preserve">Reinforced</w:t>
      </w:r>
      <w:r>
        <w:t xml:space="preserve"> </w:t>
      </w:r>
      <w:r>
        <w:t xml:space="preserve">Concrete</w:t>
      </w:r>
      <w:r>
        <w:t xml:space="preserve"> </w:t>
      </w:r>
      <w:r>
        <w:t xml:space="preserve">Frames</w:t>
      </w:r>
      <w:r>
        <w:t xml:space="preserve"> </w:t>
      </w:r>
      <w:r>
        <w:t xml:space="preserve">in</w:t>
      </w:r>
      <w:r>
        <w:t xml:space="preserve"> </w:t>
      </w:r>
      <w:r>
        <w:t xml:space="preserve">Los</w:t>
      </w:r>
      <w:r>
        <w:t xml:space="preserve"> </w:t>
      </w:r>
      <w:r>
        <w:t xml:space="preserve">Angeles</w:t>
      </w:r>
    </w:p>
    <w:p>
      <w:pPr>
        <w:pStyle w:val="FirstParagraph"/>
      </w:pPr>
      <w:r>
        <w:rPr>
          <w:bCs/>
          <w:b/>
        </w:rPr>
        <w:t xml:space="preserve">Document Title:</w:t>
      </w:r>
      <w:r>
        <w:t xml:space="preserve"> </w:t>
      </w:r>
      <w:r>
        <w:t xml:space="preserve">Experiment Protocol for Seismic Performance Evaluation of Retrofitting Techniques</w:t>
      </w:r>
      <w:r>
        <w:br/>
      </w:r>
      <w:r>
        <w:rPr>
          <w:bCs/>
          <w:b/>
        </w:rPr>
        <w:t xml:space="preserve">Location:</w:t>
      </w:r>
      <w:r>
        <w:t xml:space="preserve"> </w:t>
      </w:r>
      <w:r>
        <w:t xml:space="preserve">United States, Los Angeles, California</w:t>
      </w:r>
      <w:r>
        <w:br/>
      </w:r>
      <w:r>
        <w:rPr>
          <w:bCs/>
          <w:b/>
        </w:rPr>
        <w:t xml:space="preserve">Discipline:</w:t>
      </w:r>
      <w:r>
        <w:t xml:space="preserve"> </w:t>
      </w:r>
      <w:r>
        <w:t xml:space="preserve">Civil Engineering</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9" w:name="X2d813b51f6949950b65940756caad7597613ab8"/>
    <w:p>
      <w:pPr>
        <w:pStyle w:val="Heading1"/>
      </w:pPr>
      <w:r>
        <w:t xml:space="preserve">Experiment Protocol: Seismic Retrofitting of Reinforced Concrete Frames in Los Angeles</w:t>
      </w:r>
    </w:p>
    <w:bookmarkStart w:id="20" w:name="introduction-and-objective"/>
    <w:p>
      <w:pPr>
        <w:pStyle w:val="Heading2"/>
      </w:pPr>
      <w:r>
        <w:t xml:space="preserve">1. Introduction and Objective</w:t>
      </w:r>
    </w:p>
    <w:p>
      <w:pPr>
        <w:pStyle w:val="FirstParagraph"/>
      </w:pPr>
      <w:r>
        <w:t xml:space="preserve">This Experiment Protocol outlines the methodology for testing the seismic resilience of reinforced concrete (RC) frames subjected to retrofitting techniques commonly utilized in the United States, specifically within the high-seismicity zone of Los Angeles, California. The primary objective is to evaluate the effectiveness of fiber-reinforced polymer (FRP) wrapping and steel bracing in enhancing the ductility and load-bearing capacity of existing RC structures.</w:t>
      </w:r>
    </w:p>
    <w:p>
      <w:pPr>
        <w:pStyle w:val="BodyText"/>
      </w:pPr>
      <w:r>
        <w:t xml:space="preserve">Given the unique geological conditions of Los Angeles, including the proximity to the San Andreas Fault and the presence of soft soil deposits, this protocol is designed to simulate realistic seismic events that Civil Engineers in the region must account for. The experiment aims to provide empirical data that aligns with the latest provisions of the International Building Code (IBC) and the California Building Code (CBC).</w:t>
      </w:r>
    </w:p>
    <w:bookmarkEnd w:id="20"/>
    <w:bookmarkStart w:id="21" w:name="scope-and-applicability"/>
    <w:p>
      <w:pPr>
        <w:pStyle w:val="Heading2"/>
      </w:pPr>
      <w:r>
        <w:t xml:space="preserve">2. Scope and Applicability</w:t>
      </w:r>
    </w:p>
    <w:p>
      <w:pPr>
        <w:pStyle w:val="FirstParagraph"/>
      </w:pPr>
      <w:r>
        <w:t xml:space="preserve">This protocol applies to laboratory-scale testing of 1:2 scale RC frame specimens. The scope includes:</w:t>
      </w:r>
    </w:p>
    <w:p>
      <w:pPr>
        <w:numPr>
          <w:ilvl w:val="0"/>
          <w:numId w:val="1001"/>
        </w:numPr>
        <w:pStyle w:val="Compact"/>
      </w:pPr>
      <w:r>
        <w:t xml:space="preserve">Construction of control and retrofitted specimens.</w:t>
      </w:r>
    </w:p>
    <w:p>
      <w:pPr>
        <w:numPr>
          <w:ilvl w:val="0"/>
          <w:numId w:val="1001"/>
        </w:numPr>
        <w:pStyle w:val="Compact"/>
      </w:pPr>
      <w:r>
        <w:t xml:space="preserve">Application of quasi-static cyclic loading to simulate seismic forces.</w:t>
      </w:r>
    </w:p>
    <w:p>
      <w:pPr>
        <w:numPr>
          <w:ilvl w:val="0"/>
          <w:numId w:val="1001"/>
        </w:numPr>
        <w:pStyle w:val="Compact"/>
      </w:pPr>
      <w:r>
        <w:t xml:space="preserve">Monitoring of structural response using advanced instrumentation.</w:t>
      </w:r>
    </w:p>
    <w:p>
      <w:pPr>
        <w:numPr>
          <w:ilvl w:val="0"/>
          <w:numId w:val="1001"/>
        </w:numPr>
        <w:pStyle w:val="Compact"/>
      </w:pPr>
      <w:r>
        <w:t xml:space="preserve">Analysis of failure modes and energy dissipation capabilities.</w:t>
      </w:r>
    </w:p>
    <w:p>
      <w:pPr>
        <w:pStyle w:val="FirstParagraph"/>
      </w:pPr>
      <w:r>
        <w:t xml:space="preserve">The results will be relevant to Civil Engineers involved in the retrofitting of existing buildings in Los Angeles, particularly those constructed prior to the 1994 Northridge earthquake.</w:t>
      </w:r>
    </w:p>
    <w:bookmarkEnd w:id="21"/>
    <w:bookmarkStart w:id="25" w:name="materials-and-methods"/>
    <w:p>
      <w:pPr>
        <w:pStyle w:val="Heading2"/>
      </w:pPr>
      <w:r>
        <w:t xml:space="preserve">3. Materials and Methods</w:t>
      </w:r>
    </w:p>
    <w:bookmarkStart w:id="22" w:name="specimen-design"/>
    <w:p>
      <w:pPr>
        <w:pStyle w:val="Heading3"/>
      </w:pPr>
      <w:r>
        <w:t xml:space="preserve">3.1 Specimen Design</w:t>
      </w:r>
    </w:p>
    <w:p>
      <w:pPr>
        <w:pStyle w:val="FirstParagraph"/>
      </w:pPr>
      <w:r>
        <w:t xml:space="preserve">Three RC frame specimens will be constructed:</w:t>
      </w:r>
    </w:p>
    <w:p>
      <w:pPr>
        <w:numPr>
          <w:ilvl w:val="0"/>
          <w:numId w:val="1002"/>
        </w:numPr>
        <w:pStyle w:val="Compact"/>
      </w:pPr>
      <w:r>
        <w:rPr>
          <w:bCs/>
          <w:b/>
        </w:rPr>
        <w:t xml:space="preserve">Specimen A (Control):</w:t>
      </w:r>
      <w:r>
        <w:t xml:space="preserve"> </w:t>
      </w:r>
      <w:r>
        <w:t xml:space="preserve">Unretrofitted RC frame designed to pre-1994 standards.</w:t>
      </w:r>
    </w:p>
    <w:p>
      <w:pPr>
        <w:numPr>
          <w:ilvl w:val="0"/>
          <w:numId w:val="1002"/>
        </w:numPr>
        <w:pStyle w:val="Compact"/>
      </w:pPr>
      <w:r>
        <w:rPr>
          <w:bCs/>
          <w:b/>
        </w:rPr>
        <w:t xml:space="preserve">Specimen B (FRP Retrofit):</w:t>
      </w:r>
      <w:r>
        <w:t xml:space="preserve"> </w:t>
      </w:r>
      <w:r>
        <w:t xml:space="preserve">RC frame with carbon fiber-reinforced polymer (CFRP) wrapping on columns.</w:t>
      </w:r>
    </w:p>
    <w:p>
      <w:pPr>
        <w:numPr>
          <w:ilvl w:val="0"/>
          <w:numId w:val="1002"/>
        </w:numPr>
        <w:pStyle w:val="Compact"/>
      </w:pPr>
      <w:r>
        <w:rPr>
          <w:bCs/>
          <w:b/>
        </w:rPr>
        <w:t xml:space="preserve">Specimen C (Steel Bracing):</w:t>
      </w:r>
      <w:r>
        <w:t xml:space="preserve"> </w:t>
      </w:r>
      <w:r>
        <w:t xml:space="preserve">RC frame with added concentric steel bracing.</w:t>
      </w:r>
    </w:p>
    <w:p>
      <w:pPr>
        <w:pStyle w:val="FirstParagraph"/>
      </w:pPr>
      <w:r>
        <w:t xml:space="preserve">All specimens will be designed to reflect typical construction practices in Los Angeles, including the use of locally sourced concrete with a compressive strength of 4,000 psi and Grade 60 reinforcement steel.</w:t>
      </w:r>
    </w:p>
    <w:bookmarkEnd w:id="22"/>
    <w:bookmarkStart w:id="23" w:name="loading-protocol"/>
    <w:p>
      <w:pPr>
        <w:pStyle w:val="Heading3"/>
      </w:pPr>
      <w:r>
        <w:t xml:space="preserve">3.2 Loading Protocol</w:t>
      </w:r>
    </w:p>
    <w:p>
      <w:pPr>
        <w:pStyle w:val="FirstParagraph"/>
      </w:pPr>
      <w:r>
        <w:t xml:space="preserve">The specimens will be subjected to quasi-static cyclic loading using a hydraulic actuator. The loading protocol will follow the FEMA 461 guidelines, which are widely adopted in the United States for seismic testing. The protocol includes:</w:t>
      </w:r>
    </w:p>
    <w:p>
      <w:pPr>
        <w:numPr>
          <w:ilvl w:val="0"/>
          <w:numId w:val="1003"/>
        </w:numPr>
        <w:pStyle w:val="Compact"/>
      </w:pPr>
      <w:r>
        <w:t xml:space="preserve">Initial elastic loading cycles to assess stiffness.</w:t>
      </w:r>
    </w:p>
    <w:p>
      <w:pPr>
        <w:numPr>
          <w:ilvl w:val="0"/>
          <w:numId w:val="1003"/>
        </w:numPr>
        <w:pStyle w:val="Compact"/>
      </w:pPr>
      <w:r>
        <w:t xml:space="preserve">Progressive inelastic loading cycles to simulate increasing seismic intensity.</w:t>
      </w:r>
    </w:p>
    <w:p>
      <w:pPr>
        <w:numPr>
          <w:ilvl w:val="0"/>
          <w:numId w:val="1003"/>
        </w:numPr>
        <w:pStyle w:val="Compact"/>
      </w:pPr>
      <w:r>
        <w:t xml:space="preserve">Reversal cycles to evaluate hysteretic behavior and energy dissipation.</w:t>
      </w:r>
    </w:p>
    <w:p>
      <w:pPr>
        <w:pStyle w:val="FirstParagraph"/>
      </w:pPr>
      <w:r>
        <w:t xml:space="preserve">The loading will continue until the specimen reaches a 20% reduction in peak load capacity or exhibits a clear failure mode.</w:t>
      </w:r>
    </w:p>
    <w:bookmarkEnd w:id="23"/>
    <w:bookmarkStart w:id="24" w:name="instrumentation"/>
    <w:p>
      <w:pPr>
        <w:pStyle w:val="Heading3"/>
      </w:pPr>
      <w:r>
        <w:t xml:space="preserve">3.3 Instrumentation</w:t>
      </w:r>
    </w:p>
    <w:p>
      <w:pPr>
        <w:pStyle w:val="FirstParagraph"/>
      </w:pPr>
      <w:r>
        <w:t xml:space="preserve">Comprehensive instrumentation will be used to monitor the structural response:</w:t>
      </w:r>
    </w:p>
    <w:p>
      <w:pPr>
        <w:numPr>
          <w:ilvl w:val="0"/>
          <w:numId w:val="1004"/>
        </w:numPr>
        <w:pStyle w:val="Compact"/>
      </w:pPr>
      <w:r>
        <w:t xml:space="preserve">Linear Variable Differential Transformers (LVDTs) to measure displacements.</w:t>
      </w:r>
    </w:p>
    <w:p>
      <w:pPr>
        <w:numPr>
          <w:ilvl w:val="0"/>
          <w:numId w:val="1004"/>
        </w:numPr>
        <w:pStyle w:val="Compact"/>
      </w:pPr>
      <w:r>
        <w:t xml:space="preserve">Strain gauges to monitor reinforcement and FRP strains.</w:t>
      </w:r>
    </w:p>
    <w:p>
      <w:pPr>
        <w:numPr>
          <w:ilvl w:val="0"/>
          <w:numId w:val="1004"/>
        </w:numPr>
        <w:pStyle w:val="Compact"/>
      </w:pPr>
      <w:r>
        <w:t xml:space="preserve">Accelerometers to record dynamic responses.</w:t>
      </w:r>
    </w:p>
    <w:p>
      <w:pPr>
        <w:numPr>
          <w:ilvl w:val="0"/>
          <w:numId w:val="1004"/>
        </w:numPr>
        <w:pStyle w:val="Compact"/>
      </w:pPr>
      <w:r>
        <w:t xml:space="preserve">Load cells to measure applied forces.</w:t>
      </w:r>
    </w:p>
    <w:bookmarkEnd w:id="24"/>
    <w:bookmarkEnd w:id="25"/>
    <w:bookmarkStart w:id="26" w:name="safety-and-compliance"/>
    <w:p>
      <w:pPr>
        <w:pStyle w:val="Heading2"/>
      </w:pPr>
      <w:r>
        <w:t xml:space="preserve">4. Safety and Compliance</w:t>
      </w:r>
    </w:p>
    <w:p>
      <w:pPr>
        <w:pStyle w:val="FirstParagraph"/>
      </w:pPr>
      <w:r>
        <w:t xml:space="preserve">All procedures will adhere to the safety standards set by the Occupational Safety and Health Administration (OSHA) and the California Division of Occupational Safety and Health (Cal/OSHA). Specific safety measures include:</w:t>
      </w:r>
    </w:p>
    <w:p>
      <w:pPr>
        <w:numPr>
          <w:ilvl w:val="0"/>
          <w:numId w:val="1005"/>
        </w:numPr>
        <w:pStyle w:val="Compact"/>
      </w:pPr>
      <w:r>
        <w:t xml:space="preserve">Use of personal protective equipment (PPE) for all personnel.</w:t>
      </w:r>
    </w:p>
    <w:p>
      <w:pPr>
        <w:numPr>
          <w:ilvl w:val="0"/>
          <w:numId w:val="1005"/>
        </w:numPr>
        <w:pStyle w:val="Compact"/>
      </w:pPr>
      <w:r>
        <w:t xml:space="preserve">Installation of safety barriers around the testing area.</w:t>
      </w:r>
    </w:p>
    <w:p>
      <w:pPr>
        <w:numPr>
          <w:ilvl w:val="0"/>
          <w:numId w:val="1005"/>
        </w:numPr>
        <w:pStyle w:val="Compact"/>
      </w:pPr>
      <w:r>
        <w:t xml:space="preserve">Regular inspection of equipment and specimens for potential hazards.</w:t>
      </w:r>
    </w:p>
    <w:p>
      <w:pPr>
        <w:numPr>
          <w:ilvl w:val="0"/>
          <w:numId w:val="1005"/>
        </w:numPr>
        <w:pStyle w:val="Compact"/>
      </w:pPr>
      <w:r>
        <w:t xml:space="preserve">Emergency shutdown procedures in case of equipment failure or specimen collapse.</w:t>
      </w:r>
    </w:p>
    <w:p>
      <w:pPr>
        <w:pStyle w:val="FirstParagraph"/>
      </w:pPr>
      <w:r>
        <w:t xml:space="preserve">The experiment will also comply with environmental regulations in Los Angeles, ensuring proper disposal of materials and minimization of noise and vibration impacts.</w:t>
      </w:r>
    </w:p>
    <w:bookmarkEnd w:id="26"/>
    <w:bookmarkStart w:id="27" w:name="data-analysis-and-reporting"/>
    <w:p>
      <w:pPr>
        <w:pStyle w:val="Heading2"/>
      </w:pPr>
      <w:r>
        <w:t xml:space="preserve">5. Data Analysis and Reporting</w:t>
      </w:r>
    </w:p>
    <w:p>
      <w:pPr>
        <w:pStyle w:val="FirstParagraph"/>
      </w:pPr>
      <w:r>
        <w:t xml:space="preserve">Data collected during the experiment will be analyzed to determine:</w:t>
      </w:r>
    </w:p>
    <w:p>
      <w:pPr>
        <w:numPr>
          <w:ilvl w:val="0"/>
          <w:numId w:val="1006"/>
        </w:numPr>
        <w:pStyle w:val="Compact"/>
      </w:pPr>
      <w:r>
        <w:t xml:space="preserve">Load-displacement hysteresis loops.</w:t>
      </w:r>
    </w:p>
    <w:p>
      <w:pPr>
        <w:numPr>
          <w:ilvl w:val="0"/>
          <w:numId w:val="1006"/>
        </w:numPr>
        <w:pStyle w:val="Compact"/>
      </w:pPr>
      <w:r>
        <w:t xml:space="preserve">Stiffness degradation and strength deterioration.</w:t>
      </w:r>
    </w:p>
    <w:p>
      <w:pPr>
        <w:numPr>
          <w:ilvl w:val="0"/>
          <w:numId w:val="1006"/>
        </w:numPr>
        <w:pStyle w:val="Compact"/>
      </w:pPr>
      <w:r>
        <w:t xml:space="preserve">Energy dissipation capacity.</w:t>
      </w:r>
    </w:p>
    <w:p>
      <w:pPr>
        <w:numPr>
          <w:ilvl w:val="0"/>
          <w:numId w:val="1006"/>
        </w:numPr>
        <w:pStyle w:val="Compact"/>
      </w:pPr>
      <w:r>
        <w:t xml:space="preserve">Failure modes and mechanisms.</w:t>
      </w:r>
    </w:p>
    <w:p>
      <w:pPr>
        <w:pStyle w:val="FirstParagraph"/>
      </w:pPr>
      <w:r>
        <w:t xml:space="preserve">The results will be compared to theoretical predictions and existing codes to assess the effectiveness of the retrofitting techniques. A detailed report will be prepared, including recommendations for Civil Engineers practicing in Los Angeles and other seismic regions of the United States.</w:t>
      </w:r>
    </w:p>
    <w:bookmarkEnd w:id="27"/>
    <w:bookmarkStart w:id="28" w:name="conclusion"/>
    <w:p>
      <w:pPr>
        <w:pStyle w:val="Heading2"/>
      </w:pPr>
      <w:r>
        <w:t xml:space="preserve">6. Conclusion</w:t>
      </w:r>
    </w:p>
    <w:p>
      <w:pPr>
        <w:pStyle w:val="FirstParagraph"/>
      </w:pPr>
      <w:r>
        <w:t xml:space="preserve">This Experiment Protocol provides a structured approach to evaluating seismic retrofitting techniques for RC frames in Los Angeles. By adhering to this protocol, Civil Engineers can gain valuable insights into the performance of different retrofitting strategies, ultimately contributing to the safety and resilience of the built environment in one of the most seismically active regions of the United States.</w:t>
      </w:r>
    </w:p>
    <w:bookmarkEnd w:id="28"/>
    <w:p>
      <w:pPr>
        <w:pStyle w:val="BodyText"/>
      </w:pPr>
      <w:r>
        <w:t xml:space="preserve">This document is intended for use by qualified Civil Engineers and researchers. Any modifications to the protocol must be reviewed and approved by the project lead.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Retrofitting of Reinforced Concrete Frames in Los Angeles</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