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Coastal</w:t>
      </w:r>
      <w:r>
        <w:t xml:space="preserve"> </w:t>
      </w:r>
      <w:r>
        <w:t xml:space="preserve">Resilience</w:t>
      </w:r>
      <w:r>
        <w:t xml:space="preserve"> </w:t>
      </w:r>
      <w:r>
        <w:t xml:space="preserve">and</w:t>
      </w:r>
      <w:r>
        <w:t xml:space="preserve"> </w:t>
      </w:r>
      <w:r>
        <w:t xml:space="preserve">Structural</w:t>
      </w:r>
      <w:r>
        <w:t xml:space="preserve"> </w:t>
      </w:r>
      <w:r>
        <w:t xml:space="preserve">Integrity</w:t>
      </w:r>
    </w:p>
    <w:bookmarkStart w:id="20" w:name="Xfe7aec9570fdec57cf66812de6ab26a035c5e4f"/>
    <w:p>
      <w:pPr>
        <w:pStyle w:val="Heading1"/>
      </w:pPr>
      <w:r>
        <w:t xml:space="preserve">Experiment Protocol: Coastal Resilience and Structural Integrity</w:t>
      </w:r>
    </w:p>
    <w:p>
      <w:pPr>
        <w:pStyle w:val="FirstParagraph"/>
      </w:pPr>
      <w:r>
        <w:rPr>
          <w:bCs/>
          <w:b/>
        </w:rPr>
        <w:t xml:space="preserve">Project ID:</w:t>
      </w:r>
      <w:r>
        <w:t xml:space="preserve"> </w:t>
      </w:r>
      <w:r>
        <w:t xml:space="preserve">MIA-CE-2024-089</w:t>
      </w:r>
    </w:p>
    <w:p>
      <w:pPr>
        <w:pStyle w:val="BodyText"/>
      </w:pPr>
      <w:r>
        <w:rPr>
          <w:bCs/>
          <w:b/>
        </w:rPr>
        <w:t xml:space="preserve">Location:</w:t>
      </w:r>
      <w:r>
        <w:t xml:space="preserve"> </w:t>
      </w:r>
      <w:r>
        <w:t xml:space="preserve">United States, Miami-Dade County, Florida</w:t>
      </w:r>
    </w:p>
    <w:p>
      <w:pPr>
        <w:pStyle w:val="BodyText"/>
      </w:pPr>
      <w:r>
        <w:rPr>
          <w:bCs/>
          <w:b/>
        </w:rPr>
        <w:t xml:space="preserve">Discipline:</w:t>
      </w:r>
      <w:r>
        <w:t xml:space="preserve"> </w:t>
      </w:r>
      <w:r>
        <w:t xml:space="preserve">Civil Engineering</w:t>
      </w:r>
    </w:p>
    <w:p>
      <w:pPr>
        <w:pStyle w:val="BodyText"/>
      </w:pPr>
      <w:r>
        <w:rPr>
          <w:bCs/>
          <w:b/>
        </w:rPr>
        <w:t xml:space="preserve">Date:</w:t>
      </w:r>
      <w:r>
        <w:t xml:space="preserve"> </w:t>
      </w:r>
      <w:r>
        <w:t xml:space="preserve">October 24, 2024</w:t>
      </w:r>
    </w:p>
    <w:bookmarkEnd w:id="20"/>
    <w:bookmarkStart w:id="21" w:name="introduction-and-objective"/>
    <w:p>
      <w:pPr>
        <w:pStyle w:val="Heading2"/>
      </w:pPr>
      <w:r>
        <w:t xml:space="preserve">1.0 Introduction and Objective</w:t>
      </w:r>
    </w:p>
    <w:p>
      <w:pPr>
        <w:pStyle w:val="FirstParagraph"/>
      </w:pPr>
      <w:r>
        <w:t xml:space="preserve">This Experiment Protocol outlines the rigorous testing procedures required for the evaluation of reinforced concrete mixtures designed for high-salinity, high-humidity environments. As a Civil Engineer operating within the unique geotechnical and climatic conditions of United States Miami, the primary objective is to validate the durability and compressive strength of a novel corrosion-resistant concrete formulation.</w:t>
      </w:r>
    </w:p>
    <w:p>
      <w:pPr>
        <w:pStyle w:val="BodyText"/>
      </w:pPr>
      <w:r>
        <w:t xml:space="preserve">Miami presents specific challenges, including saltwater intrusion, high groundwater tables, and the threat of hurricane-force winds. This protocol ensures that the materials used in coastal infrastructure projects meet or exceed the stringent requirements of the Miami-Dade County Building Code and the Florida Building Code (FBC).</w:t>
      </w:r>
    </w:p>
    <w:bookmarkEnd w:id="21"/>
    <w:bookmarkStart w:id="22" w:name="scope-and-applicability"/>
    <w:p>
      <w:pPr>
        <w:pStyle w:val="Heading2"/>
      </w:pPr>
      <w:r>
        <w:t xml:space="preserve">2.0 Scope and Applicability</w:t>
      </w:r>
    </w:p>
    <w:p>
      <w:pPr>
        <w:pStyle w:val="FirstParagraph"/>
      </w:pPr>
      <w:r>
        <w:t xml:space="preserve">This protocol applies to all laboratory and field testing conducted by the Civil Engineering team for the "Biscayne Bay Resilient Infrastructure Project." The scope includes:</w:t>
      </w:r>
    </w:p>
    <w:p>
      <w:pPr>
        <w:numPr>
          <w:ilvl w:val="0"/>
          <w:numId w:val="1001"/>
        </w:numPr>
        <w:pStyle w:val="Compact"/>
      </w:pPr>
      <w:r>
        <w:t xml:space="preserve">Material characterization of concrete mixes.</w:t>
      </w:r>
    </w:p>
    <w:p>
      <w:pPr>
        <w:numPr>
          <w:ilvl w:val="0"/>
          <w:numId w:val="1001"/>
        </w:numPr>
        <w:pStyle w:val="Compact"/>
      </w:pPr>
      <w:r>
        <w:t xml:space="preserve">Accelerated aging tests simulating Miami's tropical climate.</w:t>
      </w:r>
    </w:p>
    <w:p>
      <w:pPr>
        <w:numPr>
          <w:ilvl w:val="0"/>
          <w:numId w:val="1001"/>
        </w:numPr>
        <w:pStyle w:val="Compact"/>
      </w:pPr>
      <w:r>
        <w:t xml:space="preserve">Structural load testing under simulated wind and seismic conditions.</w:t>
      </w:r>
    </w:p>
    <w:p>
      <w:pPr>
        <w:numPr>
          <w:ilvl w:val="0"/>
          <w:numId w:val="1001"/>
        </w:numPr>
        <w:pStyle w:val="Compact"/>
      </w:pPr>
      <w:r>
        <w:t xml:space="preserve">Compliance verification with ASTM International standards.</w:t>
      </w:r>
    </w:p>
    <w:bookmarkEnd w:id="22"/>
    <w:bookmarkStart w:id="23" w:name="safety-and-environmental-compliance"/>
    <w:p>
      <w:pPr>
        <w:pStyle w:val="Heading2"/>
      </w:pPr>
      <w:r>
        <w:t xml:space="preserve">3.0 Safety and Environmental Compliance</w:t>
      </w:r>
    </w:p>
    <w:p>
      <w:pPr>
        <w:pStyle w:val="FirstParagraph"/>
      </w:pPr>
      <w:r>
        <w:t xml:space="preserve">Safety is paramount. All personnel must adhere to OSHA regulations and local Miami-Dade safety ordinances.</w:t>
      </w:r>
    </w:p>
    <w:p>
      <w:pPr>
        <w:pStyle w:val="BodyText"/>
      </w:pPr>
      <w:r>
        <w:rPr>
          <w:bCs/>
          <w:b/>
        </w:rPr>
        <w:t xml:space="preserve">WARNING:</w:t>
      </w:r>
      <w:r>
        <w:t xml:space="preserve"> </w:t>
      </w:r>
      <w:r>
        <w:t xml:space="preserve">Testing involves heavy machinery, high-pressure water jets, and chemical reagents. Personal Protective Equipment (PPE) including hard hats, safety glasses, steel-toed boots, and chemical-resistant gloves is mandatory at all times.</w:t>
      </w:r>
    </w:p>
    <w:p>
      <w:pPr>
        <w:pStyle w:val="BodyText"/>
      </w:pPr>
      <w:r>
        <w:t xml:space="preserve">Environmental protection is critical in Miami due to the proximity of sensitive ecosystems like the Everglades and Biscayne Bay. All wastewater from testing must be treated and disposed of according to the South Florida Water Management District guidelines.</w:t>
      </w:r>
    </w:p>
    <w:bookmarkEnd w:id="23"/>
    <w:bookmarkStart w:id="24" w:name="materials-and-equipment"/>
    <w:p>
      <w:pPr>
        <w:pStyle w:val="Heading2"/>
      </w:pPr>
      <w:r>
        <w:t xml:space="preserve">4.0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Concrete Mix A (Control)</w:t>
            </w:r>
          </w:p>
        </w:tc>
        <w:tc>
          <w:tcPr/>
          <w:p>
            <w:pPr>
              <w:pStyle w:val="Compact"/>
              <w:jc w:val="left"/>
            </w:pPr>
            <w:r>
              <w:t xml:space="preserve">Standard Portland Cement, 4000 psi</w:t>
            </w:r>
          </w:p>
        </w:tc>
        <w:tc>
          <w:tcPr/>
          <w:p>
            <w:pPr>
              <w:pStyle w:val="Compact"/>
              <w:jc w:val="left"/>
            </w:pPr>
            <w:r>
              <w:t xml:space="preserve">500 kg</w:t>
            </w:r>
          </w:p>
        </w:tc>
      </w:tr>
      <w:tr>
        <w:tc>
          <w:tcPr/>
          <w:p>
            <w:pPr>
              <w:pStyle w:val="Compact"/>
              <w:jc w:val="left"/>
            </w:pPr>
            <w:r>
              <w:t xml:space="preserve">Concrete Mix B (Experimental)</w:t>
            </w:r>
          </w:p>
        </w:tc>
        <w:tc>
          <w:tcPr/>
          <w:p>
            <w:pPr>
              <w:pStyle w:val="Compact"/>
              <w:jc w:val="left"/>
            </w:pPr>
            <w:r>
              <w:t xml:space="preserve">High-Performance Concrete with Silica Fume</w:t>
            </w:r>
          </w:p>
        </w:tc>
        <w:tc>
          <w:tcPr/>
          <w:p>
            <w:pPr>
              <w:pStyle w:val="Compact"/>
              <w:jc w:val="left"/>
            </w:pPr>
            <w:r>
              <w:t xml:space="preserve">500 kg</w:t>
            </w:r>
          </w:p>
        </w:tc>
      </w:tr>
      <w:tr>
        <w:tc>
          <w:tcPr/>
          <w:p>
            <w:pPr>
              <w:pStyle w:val="Compact"/>
              <w:jc w:val="left"/>
            </w:pPr>
            <w:r>
              <w:t xml:space="preserve">Rebar</w:t>
            </w:r>
          </w:p>
        </w:tc>
        <w:tc>
          <w:tcPr/>
          <w:p>
            <w:pPr>
              <w:pStyle w:val="Compact"/>
              <w:jc w:val="left"/>
            </w:pPr>
            <w:r>
              <w:t xml:space="preserve">ASTM A706 Grade 60 Epoxy-Coated</w:t>
            </w:r>
          </w:p>
        </w:tc>
        <w:tc>
          <w:tcPr/>
          <w:p>
            <w:pPr>
              <w:pStyle w:val="Compact"/>
              <w:jc w:val="left"/>
            </w:pPr>
            <w:r>
              <w:t xml:space="preserve">200 meters</w:t>
            </w:r>
          </w:p>
        </w:tc>
      </w:tr>
      <w:tr>
        <w:tc>
          <w:tcPr/>
          <w:p>
            <w:pPr>
              <w:pStyle w:val="Compact"/>
              <w:jc w:val="left"/>
            </w:pPr>
            <w:r>
              <w:t xml:space="preserve">Compression Testing Machine</w:t>
            </w:r>
          </w:p>
        </w:tc>
        <w:tc>
          <w:tcPr/>
          <w:p>
            <w:pPr>
              <w:pStyle w:val="Compact"/>
              <w:jc w:val="left"/>
            </w:pPr>
            <w:r>
              <w:t xml:space="preserve">Capacity: 3000 kN</w:t>
            </w:r>
          </w:p>
        </w:tc>
        <w:tc>
          <w:tcPr/>
          <w:p>
            <w:pPr>
              <w:pStyle w:val="Compact"/>
              <w:jc w:val="left"/>
            </w:pPr>
            <w:r>
              <w:t xml:space="preserve">1 Unit</w:t>
            </w:r>
          </w:p>
        </w:tc>
      </w:tr>
      <w:tr>
        <w:tc>
          <w:tcPr/>
          <w:p>
            <w:pPr>
              <w:pStyle w:val="Compact"/>
              <w:jc w:val="left"/>
            </w:pPr>
            <w:r>
              <w:t xml:space="preserve">Chloride Ion Penetration Tester</w:t>
            </w:r>
          </w:p>
        </w:tc>
        <w:tc>
          <w:tcPr/>
          <w:p>
            <w:pPr>
              <w:pStyle w:val="Compact"/>
              <w:jc w:val="left"/>
            </w:pPr>
            <w:r>
              <w:t xml:space="preserve">Rapid Chloride Permeability Test (RCPT)</w:t>
            </w:r>
          </w:p>
        </w:tc>
        <w:tc>
          <w:tcPr/>
          <w:p>
            <w:pPr>
              <w:pStyle w:val="Compact"/>
              <w:jc w:val="left"/>
            </w:pPr>
            <w:r>
              <w:t xml:space="preserve">1 Unit</w:t>
            </w:r>
          </w:p>
        </w:tc>
      </w:tr>
    </w:tbl>
    <w:bookmarkEnd w:id="24"/>
    <w:bookmarkStart w:id="29" w:name="experimental-procedure"/>
    <w:p>
      <w:pPr>
        <w:pStyle w:val="Heading2"/>
      </w:pPr>
      <w:r>
        <w:t xml:space="preserve">5.0 Experimental Procedure</w:t>
      </w:r>
    </w:p>
    <w:bookmarkStart w:id="25" w:name="sample-preparation"/>
    <w:p>
      <w:pPr>
        <w:pStyle w:val="Heading3"/>
      </w:pPr>
      <w:r>
        <w:t xml:space="preserve">5.1 Sample Preparation</w:t>
      </w:r>
    </w:p>
    <w:p>
      <w:pPr>
        <w:pStyle w:val="FirstParagraph"/>
      </w:pPr>
      <w:r>
        <w:t xml:space="preserve">Cylindrical samples (6 inches diameter, 12 inches height) and beam samples (6x6x24 inches) shall be cast using both Control and Experimental mixes. Curing shall occur in a controlled environment at 73°F (23°C) and 95% relative humidity to simulate Miami's ambient conditions.</w:t>
      </w:r>
    </w:p>
    <w:bookmarkEnd w:id="25"/>
    <w:bookmarkStart w:id="26" w:name="accelerated-weathering-test"/>
    <w:p>
      <w:pPr>
        <w:pStyle w:val="Heading3"/>
      </w:pPr>
      <w:r>
        <w:t xml:space="preserve">5.2 Accelerated Weathering Test</w:t>
      </w:r>
    </w:p>
    <w:p>
      <w:pPr>
        <w:pStyle w:val="FirstParagraph"/>
      </w:pPr>
      <w:r>
        <w:t xml:space="preserve">To simulate the aggressive coastal environment of United States Miami, samples will undergo a 90-day accelerated weathering cycle:</w:t>
      </w:r>
    </w:p>
    <w:p>
      <w:pPr>
        <w:numPr>
          <w:ilvl w:val="0"/>
          <w:numId w:val="1002"/>
        </w:numPr>
        <w:pStyle w:val="Compact"/>
      </w:pPr>
      <w:r>
        <w:rPr>
          <w:bCs/>
          <w:b/>
        </w:rPr>
        <w:t xml:space="preserve">Saline Immersion:</w:t>
      </w:r>
      <w:r>
        <w:t xml:space="preserve"> </w:t>
      </w:r>
      <w:r>
        <w:t xml:space="preserve">Samples submerged in 3.5% NaCl solution for 12 hours.</w:t>
      </w:r>
    </w:p>
    <w:p>
      <w:pPr>
        <w:numPr>
          <w:ilvl w:val="0"/>
          <w:numId w:val="1002"/>
        </w:numPr>
        <w:pStyle w:val="Compact"/>
      </w:pPr>
      <w:r>
        <w:rPr>
          <w:bCs/>
          <w:b/>
        </w:rPr>
        <w:t xml:space="preserve">UV Exposure:</w:t>
      </w:r>
      <w:r>
        <w:t xml:space="preserve"> </w:t>
      </w:r>
      <w:r>
        <w:t xml:space="preserve">Exposure to UV radiation for 6 hours to simulate intense Florida sunlight.</w:t>
      </w:r>
    </w:p>
    <w:p>
      <w:pPr>
        <w:numPr>
          <w:ilvl w:val="0"/>
          <w:numId w:val="1002"/>
        </w:numPr>
        <w:pStyle w:val="Compact"/>
      </w:pPr>
      <w:r>
        <w:rPr>
          <w:bCs/>
          <w:b/>
        </w:rPr>
        <w:t xml:space="preserve">Drying Cycle:</w:t>
      </w:r>
      <w:r>
        <w:t xml:space="preserve"> </w:t>
      </w:r>
      <w:r>
        <w:t xml:space="preserve">Forced air drying at 100°F (38°C) for 6 hours.</w:t>
      </w:r>
    </w:p>
    <w:bookmarkEnd w:id="26"/>
    <w:bookmarkStart w:id="27" w:name="structural-load-testing"/>
    <w:p>
      <w:pPr>
        <w:pStyle w:val="Heading3"/>
      </w:pPr>
      <w:r>
        <w:t xml:space="preserve">5.3 Structural Load Testing</w:t>
      </w:r>
    </w:p>
    <w:p>
      <w:pPr>
        <w:pStyle w:val="FirstParagraph"/>
      </w:pPr>
      <w:r>
        <w:t xml:space="preserve">After the weathering cycle, beam samples will be subjected to four-point bending tests to determine flexural strength. This simulates the load-bearing requirements for bridges and overpasses common in Miami's infrastructure.</w:t>
      </w:r>
    </w:p>
    <w:bookmarkEnd w:id="27"/>
    <w:bookmarkStart w:id="28" w:name="chloride-penetration-analysis"/>
    <w:p>
      <w:pPr>
        <w:pStyle w:val="Heading3"/>
      </w:pPr>
      <w:r>
        <w:t xml:space="preserve">5.4 Chloride Penetration Analysis</w:t>
      </w:r>
    </w:p>
    <w:p>
      <w:pPr>
        <w:pStyle w:val="FirstParagraph"/>
      </w:pPr>
      <w:r>
        <w:t xml:space="preserve">Using the ASTM C1202 standard, the resistance of the concrete to chloride ion penetration will be measured. This is critical for preventing rebar corrosion, a major issue in Miami's salt-laden air.</w:t>
      </w:r>
    </w:p>
    <w:bookmarkEnd w:id="28"/>
    <w:bookmarkEnd w:id="29"/>
    <w:bookmarkStart w:id="30" w:name="data-collection-and-analysis"/>
    <w:p>
      <w:pPr>
        <w:pStyle w:val="Heading2"/>
      </w:pPr>
      <w:r>
        <w:t xml:space="preserve">6.0 Data Collection and Analysis</w:t>
      </w:r>
    </w:p>
    <w:p>
      <w:pPr>
        <w:pStyle w:val="FirstParagraph"/>
      </w:pPr>
      <w:r>
        <w:t xml:space="preserve">All data must be recorded in the central project database. Key performance indicators (KPIs) include:</w:t>
      </w:r>
    </w:p>
    <w:p>
      <w:pPr>
        <w:numPr>
          <w:ilvl w:val="0"/>
          <w:numId w:val="1003"/>
        </w:numPr>
        <w:pStyle w:val="Compact"/>
      </w:pPr>
      <w:r>
        <w:t xml:space="preserve">Compressive strength retention after 90 days.</w:t>
      </w:r>
    </w:p>
    <w:p>
      <w:pPr>
        <w:numPr>
          <w:ilvl w:val="0"/>
          <w:numId w:val="1003"/>
        </w:numPr>
        <w:pStyle w:val="Compact"/>
      </w:pPr>
      <w:r>
        <w:t xml:space="preserve">Total charge passed in RCPT (lower values indicate better durability).</w:t>
      </w:r>
    </w:p>
    <w:p>
      <w:pPr>
        <w:numPr>
          <w:ilvl w:val="0"/>
          <w:numId w:val="1003"/>
        </w:numPr>
        <w:pStyle w:val="Compact"/>
      </w:pPr>
      <w:r>
        <w:t xml:space="preserve">Crack propagation rates under load.</w:t>
      </w:r>
    </w:p>
    <w:p>
      <w:pPr>
        <w:pStyle w:val="FirstParagraph"/>
      </w:pPr>
      <w:r>
        <w:t xml:space="preserve">Data analysis will be performed by a licensed Professional Engineer (PE) in the state of Florida to ensure regulatory compliance.</w:t>
      </w:r>
    </w:p>
    <w:bookmarkEnd w:id="30"/>
    <w:bookmarkStart w:id="31" w:name="quality-assurance-and-control"/>
    <w:p>
      <w:pPr>
        <w:pStyle w:val="Heading2"/>
      </w:pPr>
      <w:r>
        <w:t xml:space="preserve">7.0 Quality Assurance and Control</w:t>
      </w:r>
    </w:p>
    <w:p>
      <w:pPr>
        <w:pStyle w:val="FirstParagraph"/>
      </w:pPr>
      <w:r>
        <w:t xml:space="preserve">Random sampling will be conducted at every stage of the experiment. Any deviation from the protocol must be documented and approved by the project lead. Third-party inspection agencies accredited by Miami-Dade County may audit the process.</w:t>
      </w:r>
    </w:p>
    <w:bookmarkEnd w:id="31"/>
    <w:bookmarkStart w:id="32" w:name="conclusion-and-reporting"/>
    <w:p>
      <w:pPr>
        <w:pStyle w:val="Heading2"/>
      </w:pPr>
      <w:r>
        <w:t xml:space="preserve">8.0 Conclusion and Reporting</w:t>
      </w:r>
    </w:p>
    <w:p>
      <w:pPr>
        <w:pStyle w:val="FirstParagraph"/>
      </w:pPr>
      <w:r>
        <w:t xml:space="preserve">Upon completion of the tests, a comprehensive report will be generated. This report will detail the suitability of the Experimental Mix for use in Miami's coastal construction projects. Recommendations will be made based on the data, ensuring that the Civil Engineering standards for safety, durability, and sustainability are met.</w:t>
      </w:r>
    </w:p>
    <w:bookmarkEnd w:id="32"/>
    <w:bookmarkStart w:id="33" w:name="signatures"/>
    <w:p>
      <w:pPr>
        <w:pStyle w:val="Heading2"/>
      </w:pPr>
      <w:r>
        <w:t xml:space="preserve">9.0 Signatures</w:t>
      </w:r>
    </w:p>
    <w:p>
      <w:pPr>
        <w:pStyle w:val="FirstParagraph"/>
      </w:pPr>
      <w:r>
        <w:rPr>
          <w:bCs/>
          <w:b/>
        </w:rPr>
        <w:t xml:space="preserve">Lead Civil Engineer:</w:t>
      </w:r>
      <w:r>
        <w:t xml:space="preserve"> </w:t>
      </w:r>
      <w:r>
        <w:t xml:space="preserve">___________________________ Date: __________</w:t>
      </w:r>
    </w:p>
    <w:p>
      <w:pPr>
        <w:pStyle w:val="BodyText"/>
      </w:pPr>
      <w:r>
        <w:rPr>
          <w:bCs/>
          <w:b/>
        </w:rPr>
        <w:t xml:space="preserve">Safety Officer:</w:t>
      </w:r>
      <w:r>
        <w:t xml:space="preserve"> </w:t>
      </w:r>
      <w:r>
        <w:t xml:space="preserve">___________________________ Date: __________</w:t>
      </w:r>
    </w:p>
    <w:p>
      <w:pPr>
        <w:pStyle w:val="BodyText"/>
      </w:pPr>
      <w:r>
        <w:rPr>
          <w:bCs/>
          <w:b/>
        </w:rPr>
        <w:t xml:space="preserve">Project Manager:</w:t>
      </w:r>
      <w:r>
        <w:t xml:space="preserve"> </w:t>
      </w:r>
      <w:r>
        <w:t xml:space="preserve">___________________________ Date: 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Coastal Resilience and Structural Integrity</dc:title>
  <dc:creator/>
  <dc:language>en</dc:language>
  <cp:keywords/>
  <dcterms:created xsi:type="dcterms:W3CDTF">2026-10-10T03:22:40Z</dcterms:created>
  <dcterms:modified xsi:type="dcterms:W3CDTF">2026-10-10T03:22:40Z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