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38" w:name="experiment-protocol-computer-engineer"/>
    <w:p>
      <w:pPr>
        <w:pStyle w:val="Heading1"/>
      </w:pPr>
      <w:r>
        <w:t xml:space="preserve">Experiment Protocol: Computer Engineer</w:t>
      </w:r>
    </w:p>
    <w:p>
      <w:pPr>
        <w:pStyle w:val="FirstParagraph"/>
      </w:pPr>
      <w:r>
        <w:rPr>
          <w:bCs/>
          <w:b/>
        </w:rPr>
        <w:t xml:space="preserve">Location:</w:t>
      </w:r>
      <w:r>
        <w:t xml:space="preserve"> </w:t>
      </w:r>
      <w:r>
        <w:t xml:space="preserve">South Africa, Johannesburg</w:t>
      </w:r>
    </w:p>
    <w:p>
      <w:pPr>
        <w:pStyle w:val="BodyText"/>
      </w:pPr>
      <w:r>
        <w:rPr>
          <w:bCs/>
          <w:b/>
        </w:rPr>
        <w:t xml:space="preserve">Role:</w:t>
      </w:r>
      <w:r>
        <w:t xml:space="preserve"> </w:t>
      </w:r>
      <w:r>
        <w:t xml:space="preserve">Computer Engineer</w:t>
      </w:r>
    </w:p>
    <w:p>
      <w:pPr>
        <w:pStyle w:val="BodyText"/>
      </w:pPr>
      <w:r>
        <w:rPr>
          <w:bCs/>
          <w:b/>
        </w:rPr>
        <w:t xml:space="preserve">Document Type:</w:t>
      </w:r>
      <w:r>
        <w:t xml:space="preserve"> </w:t>
      </w:r>
      <w:r>
        <w:t xml:space="preserve">Experiment Protocol</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
    <w:p>
      <w:pPr>
        <w:pStyle w:val="Heading2"/>
      </w:pPr>
      <w:r>
        <w:t xml:space="preserve">1. Introduction</w:t>
      </w:r>
    </w:p>
    <w:p>
      <w:pPr>
        <w:pStyle w:val="FirstParagraph"/>
      </w:pPr>
      <w:r>
        <w:t xml:space="preserve">This Experiment Protocol outlines the procedures, methodologies, and standards to be followed by a Computer Engineer conducting technical experiments within the context of South Africa, specifically in Johannesburg. The protocol is designed to ensure consistency, safety, and compliance with local regulations and industry best practices.</w:t>
      </w:r>
    </w:p>
    <w:p>
      <w:pPr>
        <w:pStyle w:val="BodyText"/>
      </w:pPr>
      <w:r>
        <w:t xml:space="preserve">Johannesburg, as a major technological hub in South Africa, presents unique challenges and opportunities for computer engineering experiments. These include considerations for power stability, network infrastructure, environmental conditions, and regulatory compliance. This protocol addresses these factors to ensure that experiments are conducted reliably and ethically.</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define clear procedures for setting up, executing, and documenting experiments.</w:t>
      </w:r>
    </w:p>
    <w:p>
      <w:pPr>
        <w:numPr>
          <w:ilvl w:val="0"/>
          <w:numId w:val="1001"/>
        </w:numPr>
        <w:pStyle w:val="Compact"/>
      </w:pPr>
      <w:r>
        <w:t xml:space="preserve">To ensure the safety of personnel and equipment during experiments.</w:t>
      </w:r>
    </w:p>
    <w:p>
      <w:pPr>
        <w:numPr>
          <w:ilvl w:val="0"/>
          <w:numId w:val="1001"/>
        </w:numPr>
        <w:pStyle w:val="Compact"/>
      </w:pPr>
      <w:r>
        <w:t xml:space="preserve">To comply with South African regulations and standards relevant to computer engineering.</w:t>
      </w:r>
    </w:p>
    <w:p>
      <w:pPr>
        <w:numPr>
          <w:ilvl w:val="0"/>
          <w:numId w:val="1001"/>
        </w:numPr>
        <w:pStyle w:val="Compact"/>
      </w:pPr>
      <w:r>
        <w:t xml:space="preserve">To facilitate reproducibility and transparency in experimental results.</w:t>
      </w:r>
    </w:p>
    <w:p>
      <w:pPr>
        <w:numPr>
          <w:ilvl w:val="0"/>
          <w:numId w:val="1001"/>
        </w:numPr>
        <w:pStyle w:val="Compact"/>
      </w:pPr>
      <w:r>
        <w:t xml:space="preserve">To address specific challenges related to conducting experiments in Johannesburg, such as power fluctuations and connectivity issues.</w:t>
      </w:r>
    </w:p>
    <w:bookmarkEnd w:id="21"/>
    <w:bookmarkStart w:id="22" w:name="scope"/>
    <w:p>
      <w:pPr>
        <w:pStyle w:val="Heading2"/>
      </w:pPr>
      <w:r>
        <w:t xml:space="preserve">3. Scope</w:t>
      </w:r>
    </w:p>
    <w:p>
      <w:pPr>
        <w:pStyle w:val="FirstParagraph"/>
      </w:pPr>
      <w:r>
        <w:t xml:space="preserve">This protocol applies to all Computer Engineers involved in experimental work within Johannesburg, South Africa. It covers hardware testing, software development, network configuration, and system integration experiments. The protocol is applicable to both academic and industrial settings.</w:t>
      </w:r>
    </w:p>
    <w:bookmarkEnd w:id="22"/>
    <w:bookmarkStart w:id="25" w:name="responsibilities"/>
    <w:p>
      <w:pPr>
        <w:pStyle w:val="Heading2"/>
      </w:pPr>
      <w:r>
        <w:t xml:space="preserve">4. Responsibilities</w:t>
      </w:r>
    </w:p>
    <w:bookmarkStart w:id="23" w:name="computer-engineer"/>
    <w:p>
      <w:pPr>
        <w:pStyle w:val="Heading3"/>
      </w:pPr>
      <w:r>
        <w:t xml:space="preserve">4.1 Computer Engineer</w:t>
      </w:r>
    </w:p>
    <w:p>
      <w:pPr>
        <w:pStyle w:val="FirstParagraph"/>
      </w:pPr>
      <w:r>
        <w:t xml:space="preserve">The Computer Engineer is responsible for:</w:t>
      </w:r>
    </w:p>
    <w:p>
      <w:pPr>
        <w:numPr>
          <w:ilvl w:val="0"/>
          <w:numId w:val="1002"/>
        </w:numPr>
        <w:pStyle w:val="Compact"/>
      </w:pPr>
      <w:r>
        <w:t xml:space="preserve">Designing experiments in accordance with this protocol.</w:t>
      </w:r>
    </w:p>
    <w:p>
      <w:pPr>
        <w:numPr>
          <w:ilvl w:val="0"/>
          <w:numId w:val="1002"/>
        </w:numPr>
        <w:pStyle w:val="Compact"/>
      </w:pPr>
      <w:r>
        <w:t xml:space="preserve">Ensuring all equipment and software used are calibrated and up-to-date.</w:t>
      </w:r>
    </w:p>
    <w:p>
      <w:pPr>
        <w:numPr>
          <w:ilvl w:val="0"/>
          <w:numId w:val="1002"/>
        </w:numPr>
        <w:pStyle w:val="Compact"/>
      </w:pPr>
      <w:r>
        <w:t xml:space="preserve">Following safety guidelines and reporting any incidents immediately.</w:t>
      </w:r>
    </w:p>
    <w:p>
      <w:pPr>
        <w:numPr>
          <w:ilvl w:val="0"/>
          <w:numId w:val="1002"/>
        </w:numPr>
        <w:pStyle w:val="Compact"/>
      </w:pPr>
      <w:r>
        <w:t xml:space="preserve">Documenting all experimental procedures, data, and results accurately.</w:t>
      </w:r>
    </w:p>
    <w:p>
      <w:pPr>
        <w:numPr>
          <w:ilvl w:val="0"/>
          <w:numId w:val="1002"/>
        </w:numPr>
        <w:pStyle w:val="Compact"/>
      </w:pPr>
      <w:r>
        <w:t xml:space="preserve">Complying with local laws and regulations in South Africa.</w:t>
      </w:r>
    </w:p>
    <w:bookmarkEnd w:id="23"/>
    <w:bookmarkStart w:id="24" w:name="supervisors-and-managers"/>
    <w:p>
      <w:pPr>
        <w:pStyle w:val="Heading3"/>
      </w:pPr>
      <w:r>
        <w:t xml:space="preserve">4.2 Supervisors and Managers</w:t>
      </w:r>
    </w:p>
    <w:p>
      <w:pPr>
        <w:pStyle w:val="FirstParagraph"/>
      </w:pPr>
      <w:r>
        <w:t xml:space="preserve">Supervisors and managers are responsible for:</w:t>
      </w:r>
    </w:p>
    <w:p>
      <w:pPr>
        <w:numPr>
          <w:ilvl w:val="0"/>
          <w:numId w:val="1003"/>
        </w:numPr>
        <w:pStyle w:val="Compact"/>
      </w:pPr>
      <w:r>
        <w:t xml:space="preserve">Reviewing and approving experimental plans before execution.</w:t>
      </w:r>
    </w:p>
    <w:p>
      <w:pPr>
        <w:numPr>
          <w:ilvl w:val="0"/>
          <w:numId w:val="1003"/>
        </w:numPr>
        <w:pStyle w:val="Compact"/>
      </w:pPr>
      <w:r>
        <w:t xml:space="preserve">Providing necessary resources and support.</w:t>
      </w:r>
    </w:p>
    <w:p>
      <w:pPr>
        <w:numPr>
          <w:ilvl w:val="0"/>
          <w:numId w:val="1003"/>
        </w:numPr>
        <w:pStyle w:val="Compact"/>
      </w:pPr>
      <w:r>
        <w:t xml:space="preserve">Ensuring compliance with organizational policies and legal requirements.</w:t>
      </w:r>
    </w:p>
    <w:p>
      <w:pPr>
        <w:numPr>
          <w:ilvl w:val="0"/>
          <w:numId w:val="1003"/>
        </w:numPr>
        <w:pStyle w:val="Compact"/>
      </w:pPr>
      <w:r>
        <w:t xml:space="preserve">Conducting regular audits of experimental processes and documentation.</w:t>
      </w:r>
    </w:p>
    <w:bookmarkEnd w:id="24"/>
    <w:bookmarkEnd w:id="25"/>
    <w:bookmarkStart w:id="28" w:name="experimental-setup"/>
    <w:p>
      <w:pPr>
        <w:pStyle w:val="Heading2"/>
      </w:pPr>
      <w:r>
        <w:t xml:space="preserve">5. Experimental Setup</w:t>
      </w:r>
    </w:p>
    <w:bookmarkStart w:id="26" w:name="equipment-and-tools"/>
    <w:p>
      <w:pPr>
        <w:pStyle w:val="Heading3"/>
      </w:pPr>
      <w:r>
        <w:t xml:space="preserve">5.1 Equipment and Tools</w:t>
      </w:r>
    </w:p>
    <w:p>
      <w:pPr>
        <w:pStyle w:val="FirstParagraph"/>
      </w:pPr>
      <w:r>
        <w:t xml:space="preserve">All equipment used in experiments must be:</w:t>
      </w:r>
    </w:p>
    <w:p>
      <w:pPr>
        <w:numPr>
          <w:ilvl w:val="0"/>
          <w:numId w:val="1004"/>
        </w:numPr>
        <w:pStyle w:val="Compact"/>
      </w:pPr>
      <w:r>
        <w:t xml:space="preserve">Calibrated according to manufacturer specifications.</w:t>
      </w:r>
    </w:p>
    <w:p>
      <w:pPr>
        <w:numPr>
          <w:ilvl w:val="0"/>
          <w:numId w:val="1004"/>
        </w:numPr>
        <w:pStyle w:val="Compact"/>
      </w:pPr>
      <w:r>
        <w:t xml:space="preserve">Inspected for damage or wear before use.</w:t>
      </w:r>
    </w:p>
    <w:p>
      <w:pPr>
        <w:numPr>
          <w:ilvl w:val="0"/>
          <w:numId w:val="1004"/>
        </w:numPr>
        <w:pStyle w:val="Compact"/>
      </w:pPr>
      <w:r>
        <w:t xml:space="preserve">Stored in a secure and controlled environment when not in use.</w:t>
      </w:r>
    </w:p>
    <w:p>
      <w:pPr>
        <w:pStyle w:val="FirstParagraph"/>
      </w:pPr>
      <w:r>
        <w:t xml:space="preserve">In Johannesburg, special attention should be given to:</w:t>
      </w:r>
    </w:p>
    <w:p>
      <w:pPr>
        <w:numPr>
          <w:ilvl w:val="0"/>
          <w:numId w:val="1005"/>
        </w:numPr>
        <w:pStyle w:val="Compact"/>
      </w:pPr>
      <w:r>
        <w:t xml:space="preserve">Using uninterruptible power supplies (UPS) to mitigate power fluctuations.</w:t>
      </w:r>
    </w:p>
    <w:p>
      <w:pPr>
        <w:numPr>
          <w:ilvl w:val="0"/>
          <w:numId w:val="1005"/>
        </w:numPr>
        <w:pStyle w:val="Compact"/>
      </w:pPr>
      <w:r>
        <w:t xml:space="preserve">Ensuring adequate cooling systems to handle high ambient temperatures.</w:t>
      </w:r>
    </w:p>
    <w:p>
      <w:pPr>
        <w:numPr>
          <w:ilvl w:val="0"/>
          <w:numId w:val="1005"/>
        </w:numPr>
        <w:pStyle w:val="Compact"/>
      </w:pPr>
      <w:r>
        <w:t xml:space="preserve">Verifying network connectivity and redundancy to avoid data loss.</w:t>
      </w:r>
    </w:p>
    <w:bookmarkEnd w:id="26"/>
    <w:bookmarkStart w:id="27" w:name="software-and-configuration"/>
    <w:p>
      <w:pPr>
        <w:pStyle w:val="Heading3"/>
      </w:pPr>
      <w:r>
        <w:t xml:space="preserve">5.2 Software and Configuration</w:t>
      </w:r>
    </w:p>
    <w:p>
      <w:pPr>
        <w:pStyle w:val="FirstParagraph"/>
      </w:pPr>
      <w:r>
        <w:t xml:space="preserve">Software used in experiments must be:</w:t>
      </w:r>
    </w:p>
    <w:p>
      <w:pPr>
        <w:numPr>
          <w:ilvl w:val="0"/>
          <w:numId w:val="1006"/>
        </w:numPr>
        <w:pStyle w:val="Compact"/>
      </w:pPr>
      <w:r>
        <w:t xml:space="preserve">Licensed and legally obtained.</w:t>
      </w:r>
    </w:p>
    <w:p>
      <w:pPr>
        <w:numPr>
          <w:ilvl w:val="0"/>
          <w:numId w:val="1006"/>
        </w:numPr>
        <w:pStyle w:val="Compact"/>
      </w:pPr>
      <w:r>
        <w:t xml:space="preserve">Updated to the latest stable version.</w:t>
      </w:r>
    </w:p>
    <w:p>
      <w:pPr>
        <w:numPr>
          <w:ilvl w:val="0"/>
          <w:numId w:val="1006"/>
        </w:numPr>
        <w:pStyle w:val="Compact"/>
      </w:pPr>
      <w:r>
        <w:t xml:space="preserve">Configured according to documented standards.</w:t>
      </w:r>
    </w:p>
    <w:p>
      <w:pPr>
        <w:pStyle w:val="FirstParagraph"/>
      </w:pPr>
      <w:r>
        <w:t xml:space="preserve">Any custom software developed for experiments must be version-controlled and documented.</w:t>
      </w:r>
    </w:p>
    <w:bookmarkEnd w:id="27"/>
    <w:bookmarkEnd w:id="28"/>
    <w:bookmarkStart w:id="31" w:name="safety-procedures"/>
    <w:p>
      <w:pPr>
        <w:pStyle w:val="Heading2"/>
      </w:pPr>
      <w:r>
        <w:t xml:space="preserve">6. Safety Procedures</w:t>
      </w:r>
    </w:p>
    <w:bookmarkStart w:id="29" w:name="general-safety"/>
    <w:p>
      <w:pPr>
        <w:pStyle w:val="Heading3"/>
      </w:pPr>
      <w:r>
        <w:t xml:space="preserve">6.1 General Safety</w:t>
      </w:r>
    </w:p>
    <w:p>
      <w:pPr>
        <w:pStyle w:val="FirstParagraph"/>
      </w:pPr>
      <w:r>
        <w:t xml:space="preserve">All personnel must:</w:t>
      </w:r>
    </w:p>
    <w:p>
      <w:pPr>
        <w:numPr>
          <w:ilvl w:val="0"/>
          <w:numId w:val="1007"/>
        </w:numPr>
        <w:pStyle w:val="Compact"/>
      </w:pPr>
      <w:r>
        <w:t xml:space="preserve">Wear appropriate personal protective equipment (PPE) when handling hardware.</w:t>
      </w:r>
    </w:p>
    <w:p>
      <w:pPr>
        <w:numPr>
          <w:ilvl w:val="0"/>
          <w:numId w:val="1007"/>
        </w:numPr>
        <w:pStyle w:val="Compact"/>
      </w:pPr>
      <w:r>
        <w:t xml:space="preserve">Follow electrical safety guidelines to prevent shocks and fires.</w:t>
      </w:r>
    </w:p>
    <w:p>
      <w:pPr>
        <w:numPr>
          <w:ilvl w:val="0"/>
          <w:numId w:val="1007"/>
        </w:numPr>
        <w:pStyle w:val="Compact"/>
      </w:pPr>
      <w:r>
        <w:t xml:space="preserve">Be trained in emergency procedures, including fire evacuation and first aid.</w:t>
      </w:r>
    </w:p>
    <w:bookmarkEnd w:id="29"/>
    <w:bookmarkStart w:id="30" w:name="data-security"/>
    <w:p>
      <w:pPr>
        <w:pStyle w:val="Heading3"/>
      </w:pPr>
      <w:r>
        <w:t xml:space="preserve">6.2 Data Security</w:t>
      </w:r>
    </w:p>
    <w:p>
      <w:pPr>
        <w:pStyle w:val="FirstParagraph"/>
      </w:pPr>
      <w:r>
        <w:t xml:space="preserve">To protect sensitive data:</w:t>
      </w:r>
    </w:p>
    <w:p>
      <w:pPr>
        <w:numPr>
          <w:ilvl w:val="0"/>
          <w:numId w:val="1008"/>
        </w:numPr>
        <w:pStyle w:val="Compact"/>
      </w:pPr>
      <w:r>
        <w:t xml:space="preserve">Use encryption for data at rest and in transit.</w:t>
      </w:r>
    </w:p>
    <w:p>
      <w:pPr>
        <w:numPr>
          <w:ilvl w:val="0"/>
          <w:numId w:val="1008"/>
        </w:numPr>
        <w:pStyle w:val="Compact"/>
      </w:pPr>
      <w:r>
        <w:t xml:space="preserve">Implement access controls to restrict unauthorized access.</w:t>
      </w:r>
    </w:p>
    <w:p>
      <w:pPr>
        <w:numPr>
          <w:ilvl w:val="0"/>
          <w:numId w:val="1008"/>
        </w:numPr>
        <w:pStyle w:val="Compact"/>
      </w:pPr>
      <w:r>
        <w:t xml:space="preserve">Regularly back up data to secure locations.</w:t>
      </w:r>
    </w:p>
    <w:bookmarkEnd w:id="30"/>
    <w:bookmarkEnd w:id="31"/>
    <w:bookmarkStart w:id="35" w:name="documentation"/>
    <w:p>
      <w:pPr>
        <w:pStyle w:val="Heading2"/>
      </w:pPr>
      <w:r>
        <w:t xml:space="preserve">7. Documentation</w:t>
      </w:r>
    </w:p>
    <w:bookmarkStart w:id="32" w:name="experimental-plan"/>
    <w:p>
      <w:pPr>
        <w:pStyle w:val="Heading3"/>
      </w:pPr>
      <w:r>
        <w:t xml:space="preserve">7.1 Experimental Plan</w:t>
      </w:r>
    </w:p>
    <w:p>
      <w:pPr>
        <w:pStyle w:val="FirstParagraph"/>
      </w:pPr>
      <w:r>
        <w:t xml:space="preserve">Before starting any experiment, a detailed plan must be documented, including:</w:t>
      </w:r>
    </w:p>
    <w:p>
      <w:pPr>
        <w:numPr>
          <w:ilvl w:val="0"/>
          <w:numId w:val="1009"/>
        </w:numPr>
        <w:pStyle w:val="Compact"/>
      </w:pPr>
      <w:r>
        <w:t xml:space="preserve">Objectives and hypotheses.</w:t>
      </w:r>
    </w:p>
    <w:p>
      <w:pPr>
        <w:numPr>
          <w:ilvl w:val="0"/>
          <w:numId w:val="1009"/>
        </w:numPr>
        <w:pStyle w:val="Compact"/>
      </w:pPr>
      <w:r>
        <w:t xml:space="preserve">Methodology and procedures.</w:t>
      </w:r>
    </w:p>
    <w:p>
      <w:pPr>
        <w:numPr>
          <w:ilvl w:val="0"/>
          <w:numId w:val="1009"/>
        </w:numPr>
        <w:pStyle w:val="Compact"/>
      </w:pPr>
      <w:r>
        <w:t xml:space="preserve">Equipment and software requirements.</w:t>
      </w:r>
    </w:p>
    <w:p>
      <w:pPr>
        <w:numPr>
          <w:ilvl w:val="0"/>
          <w:numId w:val="1009"/>
        </w:numPr>
        <w:pStyle w:val="Compact"/>
      </w:pPr>
      <w:r>
        <w:t xml:space="preserve">Risk assessment and mitigation strategies.</w:t>
      </w:r>
    </w:p>
    <w:bookmarkEnd w:id="32"/>
    <w:bookmarkStart w:id="33" w:name="data-recording"/>
    <w:p>
      <w:pPr>
        <w:pStyle w:val="Heading3"/>
      </w:pPr>
      <w:r>
        <w:t xml:space="preserve">7.2 Data Recording</w:t>
      </w:r>
    </w:p>
    <w:p>
      <w:pPr>
        <w:pStyle w:val="FirstParagraph"/>
      </w:pPr>
      <w:r>
        <w:t xml:space="preserve">All experimental data must be recorded accurately and promptly. This includes:</w:t>
      </w:r>
    </w:p>
    <w:p>
      <w:pPr>
        <w:numPr>
          <w:ilvl w:val="0"/>
          <w:numId w:val="1010"/>
        </w:numPr>
        <w:pStyle w:val="Compact"/>
      </w:pPr>
      <w:r>
        <w:t xml:space="preserve">Raw data and observations.</w:t>
      </w:r>
    </w:p>
    <w:p>
      <w:pPr>
        <w:numPr>
          <w:ilvl w:val="0"/>
          <w:numId w:val="1010"/>
        </w:numPr>
        <w:pStyle w:val="Compact"/>
      </w:pPr>
      <w:r>
        <w:t xml:space="preserve">Environmental conditions (e.g., temperature, humidity).</w:t>
      </w:r>
    </w:p>
    <w:p>
      <w:pPr>
        <w:numPr>
          <w:ilvl w:val="0"/>
          <w:numId w:val="1010"/>
        </w:numPr>
        <w:pStyle w:val="Compact"/>
      </w:pPr>
      <w:r>
        <w:t xml:space="preserve">Any deviations from the planned procedure.</w:t>
      </w:r>
    </w:p>
    <w:bookmarkEnd w:id="33"/>
    <w:bookmarkStart w:id="34" w:name="reporting"/>
    <w:p>
      <w:pPr>
        <w:pStyle w:val="Heading3"/>
      </w:pPr>
      <w:r>
        <w:t xml:space="preserve">7.3 Reporting</w:t>
      </w:r>
    </w:p>
    <w:p>
      <w:pPr>
        <w:pStyle w:val="FirstParagraph"/>
      </w:pPr>
      <w:r>
        <w:t xml:space="preserve">After completing an experiment, a report must be prepared, summarizing:</w:t>
      </w:r>
    </w:p>
    <w:p>
      <w:pPr>
        <w:numPr>
          <w:ilvl w:val="0"/>
          <w:numId w:val="1011"/>
        </w:numPr>
        <w:pStyle w:val="Compact"/>
      </w:pPr>
      <w:r>
        <w:t xml:space="preserve">Results and findings.</w:t>
      </w:r>
    </w:p>
    <w:p>
      <w:pPr>
        <w:numPr>
          <w:ilvl w:val="0"/>
          <w:numId w:val="1011"/>
        </w:numPr>
        <w:pStyle w:val="Compact"/>
      </w:pPr>
      <w:r>
        <w:t xml:space="preserve">Analysis and interpretation of data.</w:t>
      </w:r>
    </w:p>
    <w:p>
      <w:pPr>
        <w:numPr>
          <w:ilvl w:val="0"/>
          <w:numId w:val="1011"/>
        </w:numPr>
        <w:pStyle w:val="Compact"/>
      </w:pPr>
      <w:r>
        <w:t xml:space="preserve">Conclusions and recommendations.</w:t>
      </w:r>
    </w:p>
    <w:p>
      <w:pPr>
        <w:numPr>
          <w:ilvl w:val="0"/>
          <w:numId w:val="1011"/>
        </w:numPr>
        <w:pStyle w:val="Compact"/>
      </w:pPr>
      <w:r>
        <w:t xml:space="preserve">Lessons learned and areas for improvement.</w:t>
      </w:r>
    </w:p>
    <w:bookmarkEnd w:id="34"/>
    <w:bookmarkEnd w:id="35"/>
    <w:bookmarkStart w:id="36" w:name="compliance-and-ethics"/>
    <w:p>
      <w:pPr>
        <w:pStyle w:val="Heading2"/>
      </w:pPr>
      <w:r>
        <w:t xml:space="preserve">8. Compliance and Ethics</w:t>
      </w:r>
    </w:p>
    <w:p>
      <w:pPr>
        <w:pStyle w:val="FirstParagraph"/>
      </w:pPr>
      <w:r>
        <w:t xml:space="preserve">All experiments must comply with:</w:t>
      </w:r>
    </w:p>
    <w:p>
      <w:pPr>
        <w:numPr>
          <w:ilvl w:val="0"/>
          <w:numId w:val="1012"/>
        </w:numPr>
        <w:pStyle w:val="Compact"/>
      </w:pPr>
      <w:r>
        <w:t xml:space="preserve">South African laws and regulations, including the Protection of Personal Information Act (POPIA).</w:t>
      </w:r>
    </w:p>
    <w:p>
      <w:pPr>
        <w:numPr>
          <w:ilvl w:val="0"/>
          <w:numId w:val="1012"/>
        </w:numPr>
        <w:pStyle w:val="Compact"/>
      </w:pPr>
      <w:r>
        <w:t xml:space="preserve">Industry standards and best practices.</w:t>
      </w:r>
    </w:p>
    <w:p>
      <w:pPr>
        <w:numPr>
          <w:ilvl w:val="0"/>
          <w:numId w:val="1012"/>
        </w:numPr>
        <w:pStyle w:val="Compact"/>
      </w:pPr>
      <w:r>
        <w:t xml:space="preserve">Ethical guidelines for research and development.</w:t>
      </w:r>
    </w:p>
    <w:p>
      <w:pPr>
        <w:pStyle w:val="FirstParagraph"/>
      </w:pPr>
      <w:r>
        <w:t xml:space="preserve">Experiments involving human subjects or sensitive data must receive approval from relevant ethics committees.</w:t>
      </w:r>
    </w:p>
    <w:bookmarkEnd w:id="36"/>
    <w:bookmarkStart w:id="37" w:name="review-and-updates"/>
    <w:p>
      <w:pPr>
        <w:pStyle w:val="Heading2"/>
      </w:pPr>
      <w:r>
        <w:t xml:space="preserve">9. Review and Updates</w:t>
      </w:r>
    </w:p>
    <w:p>
      <w:pPr>
        <w:pStyle w:val="FirstParagraph"/>
      </w:pPr>
      <w:r>
        <w:t xml:space="preserve">This Experiment Protocol will be reviewed annually or as needed to incorporate changes in technology, regulations, or organizational policies. Feedback from Computer Engineers and other stakeholders will be considered during the review process.</w:t>
      </w:r>
    </w:p>
    <w:p>
      <w:pPr>
        <w:pStyle w:val="BodyText"/>
      </w:pPr>
      <w:r>
        <w:t xml:space="preserve">This document is intended to serve as a comprehensive guide for Computer Engineers conducting experiments in Johannesburg, South Africa. Adherence to this protocol is essential for ensuring the integrity, safety, and success of all experimental activities.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 South Africa Johannesburg</dc:title>
  <dc:creator/>
  <dc:language>en</dc:language>
  <cp:keywords/>
  <dcterms:created xsi:type="dcterms:W3CDTF">2026-10-10T04:08:15Z</dcterms:created>
  <dcterms:modified xsi:type="dcterms:W3CDTF">2026-10-10T04:08:15Z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