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Computer</w:t>
      </w:r>
      <w:r>
        <w:t xml:space="preserve"> </w:t>
      </w:r>
      <w:r>
        <w:t xml:space="preserve">Engineer</w:t>
      </w:r>
      <w:r>
        <w:t xml:space="preserve"> </w:t>
      </w:r>
      <w:r>
        <w:t xml:space="preserve">Assessment</w:t>
      </w:r>
      <w:r>
        <w:t xml:space="preserve"> </w:t>
      </w:r>
      <w:r>
        <w:t xml:space="preserve">in</w:t>
      </w:r>
      <w:r>
        <w:t xml:space="preserve"> </w:t>
      </w:r>
      <w:r>
        <w:t xml:space="preserve">Thailand</w:t>
      </w:r>
      <w:r>
        <w:t xml:space="preserve"> </w:t>
      </w:r>
      <w:r>
        <w:t xml:space="preserve">Bangkok</w:t>
      </w:r>
    </w:p>
    <w:bookmarkStart w:id="20" w:name="experiment-protocol"/>
    <w:p>
      <w:pPr>
        <w:pStyle w:val="Heading1"/>
      </w:pPr>
      <w:r>
        <w:t xml:space="preserve">Experiment Protocol</w:t>
      </w:r>
    </w:p>
    <w:p>
      <w:pPr>
        <w:pStyle w:val="FirstParagraph"/>
      </w:pPr>
      <w:r>
        <w:rPr>
          <w:bCs/>
          <w:b/>
        </w:rPr>
        <w:t xml:space="preserve">Subject:</w:t>
      </w:r>
      <w:r>
        <w:t xml:space="preserve"> </w:t>
      </w:r>
      <w:r>
        <w:t xml:space="preserve">Performance Evaluation of Computer Engineer Candidates</w:t>
      </w:r>
    </w:p>
    <w:p>
      <w:pPr>
        <w:pStyle w:val="BodyText"/>
      </w:pPr>
      <w:r>
        <w:rPr>
          <w:bCs/>
          <w:b/>
        </w:rPr>
        <w:t xml:space="preserve">Location:</w:t>
      </w:r>
      <w:r>
        <w:t xml:space="preserve"> </w:t>
      </w:r>
      <w:r>
        <w:t xml:space="preserve">Thailand Bangkok, Central Business District</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and-objective"/>
    <w:p>
      <w:pPr>
        <w:pStyle w:val="Heading2"/>
      </w:pPr>
      <w:r>
        <w:t xml:space="preserve">1. Introduction and Objective</w:t>
      </w:r>
    </w:p>
    <w:p>
      <w:pPr>
        <w:pStyle w:val="FirstParagraph"/>
      </w:pPr>
      <w:r>
        <w:t xml:space="preserve">This Experiment Protocol outlines the standardized procedures for assessing the technical competencies, problem-solving abilities, and practical skills of Computer Engineer candidates in Thailand Bangkok. The rapid growth of the technology sector in Thailand Bangkok has created a high demand for skilled professionals capable of designing, developing, and maintaining complex computer systems. This protocol ensures that all evaluations are conducted fairly, consistently, and in alignment with international engineering standards while considering local regulatory and cultural contexts.</w:t>
      </w:r>
    </w:p>
    <w:p>
      <w:pPr>
        <w:pStyle w:val="BodyText"/>
      </w:pPr>
      <w:r>
        <w:t xml:space="preserve">The primary objective is to establish a rigorous framework for evaluating candidates' proficiency in hardware design, software development, network architecture, and system integration. By adhering to this protocol, organizations in Thailand Bangkok can identify top-tier talent capable of contributing to the region's technological advancement.</w:t>
      </w:r>
    </w:p>
    <w:bookmarkEnd w:id="21"/>
    <w:bookmarkStart w:id="22" w:name="scope-and-applicability"/>
    <w:p>
      <w:pPr>
        <w:pStyle w:val="Heading2"/>
      </w:pPr>
      <w:r>
        <w:t xml:space="preserve">2. Scope and Applicability</w:t>
      </w:r>
    </w:p>
    <w:p>
      <w:pPr>
        <w:pStyle w:val="FirstParagraph"/>
      </w:pPr>
      <w:r>
        <w:t xml:space="preserve">This protocol applies to all Computer Engineer candidates participating in technical assessments organized by accredited institutions or companies operating in Thailand Bangkok. It covers both entry-level and senior positions, with adjustments made for experience levels. The assessment process includes theoretical knowledge tests, practical coding exercises, hardware troubleshooting simulations, and collaborative problem-solving tasks.</w:t>
      </w:r>
    </w:p>
    <w:p>
      <w:pPr>
        <w:pStyle w:val="BodyText"/>
      </w:pPr>
      <w:r>
        <w:t xml:space="preserve">All participants must comply with the guidelines set forth in this document. Evaluators are required to follow the specified procedures to ensure consistency and fairness across all assessments.</w:t>
      </w:r>
    </w:p>
    <w:bookmarkEnd w:id="22"/>
    <w:bookmarkStart w:id="23" w:name="roles-and-responsibilities"/>
    <w:p>
      <w:pPr>
        <w:pStyle w:val="Heading2"/>
      </w:pPr>
      <w:r>
        <w:t xml:space="preserve">3.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Chief Evaluator</w:t>
            </w:r>
          </w:p>
        </w:tc>
        <w:tc>
          <w:tcPr/>
          <w:p>
            <w:pPr>
              <w:pStyle w:val="Compact"/>
              <w:jc w:val="left"/>
            </w:pPr>
            <w:r>
              <w:t xml:space="preserve">Oversee the entire assessment process, ensure compliance with the protocol, and resolve disputes.</w:t>
            </w:r>
          </w:p>
        </w:tc>
      </w:tr>
      <w:tr>
        <w:tc>
          <w:tcPr/>
          <w:p>
            <w:pPr>
              <w:pStyle w:val="Compact"/>
              <w:jc w:val="left"/>
            </w:pPr>
            <w:r>
              <w:t xml:space="preserve">Technical Assessors</w:t>
            </w:r>
          </w:p>
        </w:tc>
        <w:tc>
          <w:tcPr/>
          <w:p>
            <w:pPr>
              <w:pStyle w:val="Compact"/>
              <w:jc w:val="left"/>
            </w:pPr>
            <w:r>
              <w:t xml:space="preserve">Conduct evaluations, grade responses, and provide feedback on candidates' performance.</w:t>
            </w:r>
          </w:p>
        </w:tc>
      </w:tr>
      <w:tr>
        <w:tc>
          <w:tcPr/>
          <w:p>
            <w:pPr>
              <w:pStyle w:val="Compact"/>
              <w:jc w:val="left"/>
            </w:pPr>
            <w:r>
              <w:t xml:space="preserve">Candidates</w:t>
            </w:r>
          </w:p>
        </w:tc>
        <w:tc>
          <w:tcPr/>
          <w:p>
            <w:pPr>
              <w:pStyle w:val="Compact"/>
              <w:jc w:val="left"/>
            </w:pPr>
            <w:r>
              <w:t xml:space="preserve">Participate in all assessment activities, adhere to rules, and demonstrate their skills honestly.</w:t>
            </w:r>
          </w:p>
        </w:tc>
      </w:tr>
      <w:tr>
        <w:tc>
          <w:tcPr/>
          <w:p>
            <w:pPr>
              <w:pStyle w:val="Compact"/>
              <w:jc w:val="left"/>
            </w:pPr>
            <w:r>
              <w:t xml:space="preserve">Logistics Coordinator</w:t>
            </w:r>
          </w:p>
        </w:tc>
        <w:tc>
          <w:tcPr/>
          <w:p>
            <w:pPr>
              <w:pStyle w:val="Compact"/>
              <w:jc w:val="left"/>
            </w:pPr>
            <w:r>
              <w:t xml:space="preserve">Manage venue setup, equipment distribution, and scheduling in Thailand Bangkok.</w:t>
            </w:r>
          </w:p>
        </w:tc>
      </w:tr>
    </w:tbl>
    <w:bookmarkEnd w:id="23"/>
    <w:bookmarkStart w:id="28" w:name="assessment-components"/>
    <w:p>
      <w:pPr>
        <w:pStyle w:val="Heading2"/>
      </w:pPr>
      <w:r>
        <w:t xml:space="preserve">4. Assessment Components</w:t>
      </w:r>
    </w:p>
    <w:bookmarkStart w:id="24" w:name="theoretical-knowledge-test"/>
    <w:p>
      <w:pPr>
        <w:pStyle w:val="Heading3"/>
      </w:pPr>
      <w:r>
        <w:t xml:space="preserve">4.1 Theoretical Knowledge Test</w:t>
      </w:r>
    </w:p>
    <w:p>
      <w:pPr>
        <w:pStyle w:val="FirstParagraph"/>
      </w:pPr>
      <w:r>
        <w:t xml:space="preserve">Candidates will complete a multiple-choice and short-answer test covering fundamental concepts in computer engineering. Topics include digital logic design, microprocessor architecture, operating systems, and networking principles. The test duration is 90 minutes, and it accounts for 30% of the total score.</w:t>
      </w:r>
    </w:p>
    <w:bookmarkEnd w:id="24"/>
    <w:bookmarkStart w:id="25" w:name="practical-coding-exercise"/>
    <w:p>
      <w:pPr>
        <w:pStyle w:val="Heading3"/>
      </w:pPr>
      <w:r>
        <w:t xml:space="preserve">4.2 Practical Coding Exercise</w:t>
      </w:r>
    </w:p>
    <w:p>
      <w:pPr>
        <w:pStyle w:val="FirstParagraph"/>
      </w:pPr>
      <w:r>
        <w:t xml:space="preserve">Candidates will solve programming problems using languages such as Python, C++, or Java. Tasks may involve algorithm optimization, data structure implementation, or debugging existing code. This component lasts 120 minutes and contributes 40% to the final evaluation.</w:t>
      </w:r>
    </w:p>
    <w:bookmarkEnd w:id="25"/>
    <w:bookmarkStart w:id="26" w:name="hardware-troubleshooting-simulation"/>
    <w:p>
      <w:pPr>
        <w:pStyle w:val="Heading3"/>
      </w:pPr>
      <w:r>
        <w:t xml:space="preserve">4.3 Hardware Troubleshooting Simulation</w:t>
      </w:r>
    </w:p>
    <w:p>
      <w:pPr>
        <w:pStyle w:val="FirstParagraph"/>
      </w:pPr>
      <w:r>
        <w:t xml:space="preserve">In this hands-on segment, candidates will diagnose and resolve issues in simulated hardware setups. Scenarios may include faulty circuit boards, memory errors, or peripheral connectivity problems. This section takes 60 minutes and represents 20% of the overall score.</w:t>
      </w:r>
    </w:p>
    <w:bookmarkEnd w:id="26"/>
    <w:bookmarkStart w:id="27" w:name="collaborative-problem-solving-task"/>
    <w:p>
      <w:pPr>
        <w:pStyle w:val="Heading3"/>
      </w:pPr>
      <w:r>
        <w:t xml:space="preserve">4.4 Collaborative Problem-Solving Task</w:t>
      </w:r>
    </w:p>
    <w:p>
      <w:pPr>
        <w:pStyle w:val="FirstParagraph"/>
      </w:pPr>
      <w:r>
        <w:t xml:space="preserve">Candidates will work in teams to design a solution for a real-world engineering challenge relevant to Thailand Bangkok's infrastructure needs. Examples include developing IoT solutions for traffic management or creating energy-efficient systems for urban environments. This task lasts 90 minutes and accounts for 10% of the total score.</w:t>
      </w:r>
    </w:p>
    <w:bookmarkEnd w:id="27"/>
    <w:bookmarkEnd w:id="28"/>
    <w:bookmarkStart w:id="29" w:name="venue-and-equipment-requirements"/>
    <w:p>
      <w:pPr>
        <w:pStyle w:val="Heading2"/>
      </w:pPr>
      <w:r>
        <w:t xml:space="preserve">5. Venue and Equipment Requirements</w:t>
      </w:r>
    </w:p>
    <w:p>
      <w:pPr>
        <w:pStyle w:val="FirstParagraph"/>
      </w:pPr>
      <w:r>
        <w:t xml:space="preserve">The assessment will take place in a secure facility located in Thailand Bangkok, equipped with high-speed internet, workstations, and necessary hardware tools. Each candidate will be provided with:</w:t>
      </w:r>
    </w:p>
    <w:p>
      <w:pPr>
        <w:numPr>
          <w:ilvl w:val="0"/>
          <w:numId w:val="1001"/>
        </w:numPr>
        <w:pStyle w:val="Compact"/>
      </w:pPr>
      <w:r>
        <w:t xml:space="preserve">A laptop pre-installed with required software.</w:t>
      </w:r>
    </w:p>
    <w:p>
      <w:pPr>
        <w:numPr>
          <w:ilvl w:val="0"/>
          <w:numId w:val="1001"/>
        </w:numPr>
        <w:pStyle w:val="Compact"/>
      </w:pPr>
      <w:r>
        <w:t xml:space="preserve">Access to online resources (restricted to approved websites).</w:t>
      </w:r>
    </w:p>
    <w:p>
      <w:pPr>
        <w:numPr>
          <w:ilvl w:val="0"/>
          <w:numId w:val="1001"/>
        </w:numPr>
        <w:pStyle w:val="Compact"/>
      </w:pPr>
      <w:r>
        <w:t xml:space="preserve">Hardware kits for troubleshooting exercises.</w:t>
      </w:r>
    </w:p>
    <w:p>
      <w:pPr>
        <w:pStyle w:val="FirstParagraph"/>
      </w:pPr>
      <w:r>
        <w:t xml:space="preserve">The venue must comply with safety regulations and provide adequate seating, lighting, and ventilation.</w:t>
      </w:r>
    </w:p>
    <w:bookmarkEnd w:id="29"/>
    <w:bookmarkStart w:id="30" w:name="ethical-considerations"/>
    <w:p>
      <w:pPr>
        <w:pStyle w:val="Heading2"/>
      </w:pPr>
      <w:r>
        <w:t xml:space="preserve">6. Ethical Considerations</w:t>
      </w:r>
    </w:p>
    <w:p>
      <w:pPr>
        <w:pStyle w:val="FirstParagraph"/>
      </w:pPr>
      <w:r>
        <w:t xml:space="preserve">All participants must adhere to ethical guidelines to maintain the integrity of the assessment. Prohibited actions include:</w:t>
      </w:r>
    </w:p>
    <w:p>
      <w:pPr>
        <w:numPr>
          <w:ilvl w:val="0"/>
          <w:numId w:val="1002"/>
        </w:numPr>
        <w:pStyle w:val="Compact"/>
      </w:pPr>
      <w:r>
        <w:t xml:space="preserve">Using unauthorized materials or devices.</w:t>
      </w:r>
    </w:p>
    <w:p>
      <w:pPr>
        <w:numPr>
          <w:ilvl w:val="0"/>
          <w:numId w:val="1002"/>
        </w:numPr>
        <w:pStyle w:val="Compact"/>
      </w:pPr>
      <w:r>
        <w:t xml:space="preserve">Collaborating during individual tasks.</w:t>
      </w:r>
    </w:p>
    <w:p>
      <w:pPr>
        <w:numPr>
          <w:ilvl w:val="0"/>
          <w:numId w:val="1002"/>
        </w:numPr>
        <w:pStyle w:val="Compact"/>
      </w:pPr>
      <w:r>
        <w:t xml:space="preserve">Sharing assessment content with others.</w:t>
      </w:r>
    </w:p>
    <w:p>
      <w:pPr>
        <w:pStyle w:val="FirstParagraph"/>
      </w:pPr>
      <w:r>
        <w:t xml:space="preserve">Violations will result in immediate disqualification. Evaluators must treat all candidates respectfully and avoid bias based on gender, ethnicity, or background.</w:t>
      </w:r>
    </w:p>
    <w:bookmarkEnd w:id="30"/>
    <w:bookmarkStart w:id="31" w:name="data-privacy-and-confidentiality"/>
    <w:p>
      <w:pPr>
        <w:pStyle w:val="Heading2"/>
      </w:pPr>
      <w:r>
        <w:t xml:space="preserve">7. Data Privacy and Confidentiality</w:t>
      </w:r>
    </w:p>
    <w:p>
      <w:pPr>
        <w:pStyle w:val="FirstParagraph"/>
      </w:pPr>
      <w:r>
        <w:t xml:space="preserve">In accordance with Thailand's Personal Data Protection Act (PDPA), all personal information collected during the assessment will be handled securely. Data will only be used for evaluation purposes and stored for a maximum of two years. Candidates will be informed about data usage policies before participation.</w:t>
      </w:r>
    </w:p>
    <w:bookmarkEnd w:id="31"/>
    <w:bookmarkStart w:id="32" w:name="scoring-and-feedback"/>
    <w:p>
      <w:pPr>
        <w:pStyle w:val="Heading2"/>
      </w:pPr>
      <w:r>
        <w:t xml:space="preserve">8. Scoring and Feedback</w:t>
      </w:r>
    </w:p>
    <w:p>
      <w:pPr>
        <w:pStyle w:val="FirstParagraph"/>
      </w:pPr>
      <w:r>
        <w:t xml:space="preserve">Candidates will receive a detailed score report within 14 days of completing the assessment. Feedback will highlight strengths and areas for improvement, helping them enhance their skills as Computer Engineers. Scores will be categorized into four levels: Outstanding, Proficient, Developing, and Needs Improvement.</w:t>
      </w:r>
    </w:p>
    <w:bookmarkEnd w:id="32"/>
    <w:bookmarkStart w:id="33" w:name="conclusion"/>
    <w:p>
      <w:pPr>
        <w:pStyle w:val="Heading2"/>
      </w:pPr>
      <w:r>
        <w:t xml:space="preserve">9. Conclusion</w:t>
      </w:r>
    </w:p>
    <w:p>
      <w:pPr>
        <w:pStyle w:val="FirstParagraph"/>
      </w:pPr>
      <w:r>
        <w:t xml:space="preserve">This Experiment Protocol provides a comprehensive framework for evaluating Computer Engineer candidates in Thailand Bangkok. By following these guidelines, organizations can ensure that their hiring processes are transparent, equitable, and aligned with industry standards. This approach not only benefits employers but also supports the professional growth of aspiring engineers in the region.</w:t>
      </w:r>
    </w:p>
    <w:bookmarkEnd w:id="33"/>
    <w:p>
      <w:pPr>
        <w:pStyle w:val="BodyText"/>
      </w:pPr>
      <w:r>
        <w:rPr>
          <w:bCs/>
          <w:b/>
        </w:rPr>
        <w:t xml:space="preserve">Note:</w:t>
      </w:r>
      <w:r>
        <w:t xml:space="preserve"> </w:t>
      </w:r>
      <w:r>
        <w:t xml:space="preserve">This document is subject to periodic review and updates to reflect changes in technology, regulations, or best practices.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Computer Engineer Assessment in Thailand Bangkok</dc:title>
  <dc:creator/>
  <dc:language>en</dc:language>
  <cp:keywords/>
  <dcterms:created xsi:type="dcterms:W3CDTF">2026-10-10T03:33:52Z</dcterms:created>
  <dcterms:modified xsi:type="dcterms:W3CDTF">2026-10-10T03:33:52Z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