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Performance</w:t>
      </w:r>
      <w:r>
        <w:t xml:space="preserve"> </w:t>
      </w:r>
      <w:r>
        <w:t xml:space="preserve">Evaluation</w:t>
      </w:r>
      <w:r>
        <w:t xml:space="preserve"> </w:t>
      </w:r>
      <w:r>
        <w:t xml:space="preserve">-</w:t>
      </w:r>
      <w:r>
        <w:t xml:space="preserve"> </w:t>
      </w:r>
      <w:r>
        <w:t xml:space="preserve">Jeddah,</w:t>
      </w:r>
      <w:r>
        <w:t xml:space="preserve"> </w:t>
      </w:r>
      <w:r>
        <w:t xml:space="preserve">Saudi</w:t>
      </w:r>
      <w:r>
        <w:t xml:space="preserve"> </w:t>
      </w:r>
      <w:r>
        <w:t xml:space="preserve">Arabia</w:t>
      </w:r>
    </w:p>
    <w:bookmarkStart w:id="20" w:name="X8ce3fff3af8ad591bcfc9ed3035bb1769a0b2e2"/>
    <w:p>
      <w:pPr>
        <w:pStyle w:val="Heading1"/>
      </w:pPr>
      <w:r>
        <w:t xml:space="preserve">Experiment Protocol: Advanced Screening and Decision-Making Efficiency for Customs Officers</w:t>
      </w:r>
    </w:p>
    <w:p>
      <w:pPr>
        <w:pStyle w:val="FirstParagraph"/>
      </w:pPr>
      <w:r>
        <w:rPr>
          <w:bCs/>
          <w:b/>
        </w:rPr>
        <w:t xml:space="preserve">Location:</w:t>
      </w:r>
      <w:r>
        <w:t xml:space="preserve"> </w:t>
      </w:r>
      <w:r>
        <w:t xml:space="preserve">King Abdulaziz Port, Jeddah, Saudi Arabia</w:t>
      </w:r>
    </w:p>
    <w:p>
      <w:pPr>
        <w:pStyle w:val="BodyText"/>
      </w:pPr>
      <w:r>
        <w:rPr>
          <w:bCs/>
          <w:b/>
        </w:rPr>
        <w:t xml:space="preserve">Document ID:</w:t>
      </w:r>
      <w:r>
        <w:t xml:space="preserve"> </w:t>
      </w:r>
      <w:r>
        <w:t xml:space="preserve">EXP-PROT-KAP-2024-001</w:t>
      </w:r>
    </w:p>
    <w:p>
      <w:pPr>
        <w:pStyle w:val="BodyText"/>
      </w:pPr>
      <w:r>
        <w:rPr>
          <w:bCs/>
          <w:b/>
        </w:rPr>
        <w:t xml:space="preserve">Date:</w:t>
      </w:r>
      <w:r>
        <w:t xml:space="preserve"> </w:t>
      </w:r>
      <w:r>
        <w:t xml:space="preserve">October 26, 2024</w:t>
      </w:r>
    </w:p>
    <w:p>
      <w:pPr>
        <w:pStyle w:val="BodyText"/>
      </w:pPr>
      <w:r>
        <w:rPr>
          <w:bCs/>
          <w:b/>
        </w:rPr>
        <w:t xml:space="preserve">Version:</w:t>
      </w:r>
      <w:r>
        <w:t xml:space="preserve"> </w:t>
      </w:r>
      <w:r>
        <w:t xml:space="preserve">1.0</w:t>
      </w:r>
    </w:p>
    <w:bookmarkEnd w:id="20"/>
    <w:p>
      <w:pPr>
        <w:pStyle w:val="BodyText"/>
      </w:pPr>
      <w:r>
        <w:t xml:space="preserve">1. Introduction and Background</w:t>
      </w:r>
    </w:p>
    <w:p>
      <w:pPr>
        <w:pStyle w:val="BodyText"/>
      </w:pPr>
      <w:r>
        <w:t xml:space="preserve">The Kingdom of Saudi Arabia is rapidly advancing its logistics infrastructure under the Vision 2030 initiative. As a primary gateway for international trade, Jeddah serves as a critical node for the import and export of goods across the Middle East. The Customs Officer plays a pivotal role in ensuring national security, regulatory compliance, and the smooth flow of commerce. However, the increasing volume of cargo and the complexity of modern trade regulations necessitate a rigorous evaluation of current operational protocols.</w:t>
      </w:r>
    </w:p>
    <w:p>
      <w:pPr>
        <w:pStyle w:val="BodyText"/>
      </w:pPr>
      <w:r>
        <w:t xml:space="preserve">This Experiment Protocol outlines a structured study designed to assess the efficacy of a new AI-assisted risk assessment tool integrated into the workflow of Customs Officers at the King Abdulaziz Port in Jeddah. The primary objective is to determine if this technological intervention reduces clearance times without compromising the accuracy of contraband detection or regulatory adherence.</w:t>
      </w:r>
    </w:p>
    <w:p>
      <w:pPr>
        <w:pStyle w:val="BodyText"/>
      </w:pPr>
      <w:r>
        <w:t xml:space="preserve">2. Objectives</w:t>
      </w:r>
    </w:p>
    <w:p>
      <w:pPr>
        <w:pStyle w:val="BodyText"/>
      </w:pPr>
      <w:r>
        <w:t xml:space="preserve">The specific objectives of this experiment are as follows:</w:t>
      </w:r>
    </w:p>
    <w:p>
      <w:pPr>
        <w:numPr>
          <w:ilvl w:val="0"/>
          <w:numId w:val="1001"/>
        </w:numPr>
        <w:pStyle w:val="Compact"/>
      </w:pPr>
      <w:r>
        <w:t xml:space="preserve">To measure the impact of the new decision-support system on the average processing time per container for Customs Officers.</w:t>
      </w:r>
    </w:p>
    <w:p>
      <w:pPr>
        <w:numPr>
          <w:ilvl w:val="0"/>
          <w:numId w:val="1001"/>
        </w:numPr>
        <w:pStyle w:val="Compact"/>
      </w:pPr>
      <w:r>
        <w:t xml:space="preserve">To evaluate the accuracy of risk flagging by comparing AI-generated alerts against manual inspections conducted by experienced officers.</w:t>
      </w:r>
    </w:p>
    <w:p>
      <w:pPr>
        <w:numPr>
          <w:ilvl w:val="0"/>
          <w:numId w:val="1001"/>
        </w:numPr>
        <w:pStyle w:val="Compact"/>
      </w:pPr>
      <w:r>
        <w:t xml:space="preserve">To assess the cognitive load and user satisfaction of Customs Officers utilizing the new interface during peak operational hours in Jeddah.</w:t>
      </w:r>
    </w:p>
    <w:p>
      <w:pPr>
        <w:numPr>
          <w:ilvl w:val="0"/>
          <w:numId w:val="1001"/>
        </w:numPr>
        <w:pStyle w:val="Compact"/>
      </w:pPr>
      <w:r>
        <w:t xml:space="preserve">To ensure full compliance with the Saudi Customs Law and international security standards (WCO SAFE Framework) during the trial period.</w:t>
      </w:r>
    </w:p>
    <w:p>
      <w:pPr>
        <w:pStyle w:val="FirstParagraph"/>
      </w:pPr>
      <w:r>
        <w:t xml:space="preserve">3. Methodology</w:t>
      </w:r>
    </w:p>
    <w:p>
      <w:pPr>
        <w:pStyle w:val="BodyText"/>
      </w:pPr>
      <w:r>
        <w:t xml:space="preserve">This study will employ a randomized controlled trial (RCT) design. The experiment will take place over a period of twelve weeks at the King Abdulaziz Port in Jeddah. The participants will be active Customs Officers currently employed by the Saudi Customs Authority.</w:t>
      </w:r>
    </w:p>
    <w:bookmarkStart w:id="21" w:name="participants"/>
    <w:p>
      <w:pPr>
        <w:pStyle w:val="Heading3"/>
      </w:pPr>
      <w:r>
        <w:t xml:space="preserve">3.1 Participants</w:t>
      </w:r>
    </w:p>
    <w:p>
      <w:pPr>
        <w:pStyle w:val="FirstParagraph"/>
      </w:pPr>
      <w:r>
        <w:t xml:space="preserve">A total of 60 Customs Officers will be recruited. Inclusion criteria require a minimum of two years of service in Jeddah and proficiency in both Arabic and English. Participants will be randomly assigned to one of two groups:</w:t>
      </w:r>
    </w:p>
    <w:p>
      <w:pPr>
        <w:numPr>
          <w:ilvl w:val="0"/>
          <w:numId w:val="1002"/>
        </w:numPr>
        <w:pStyle w:val="Compact"/>
      </w:pPr>
      <w:r>
        <w:rPr>
          <w:bCs/>
          <w:b/>
        </w:rPr>
        <w:t xml:space="preserve">Control Group (n=30):</w:t>
      </w:r>
      <w:r>
        <w:t xml:space="preserve"> </w:t>
      </w:r>
      <w:r>
        <w:t xml:space="preserve">Will continue to use the existing legacy screening software and standard operating procedures.</w:t>
      </w:r>
    </w:p>
    <w:p>
      <w:pPr>
        <w:numPr>
          <w:ilvl w:val="0"/>
          <w:numId w:val="1002"/>
        </w:numPr>
        <w:pStyle w:val="Compact"/>
      </w:pPr>
      <w:r>
        <w:rPr>
          <w:bCs/>
          <w:b/>
        </w:rPr>
        <w:t xml:space="preserve">Experimental Group (n=30):</w:t>
      </w:r>
      <w:r>
        <w:t xml:space="preserve"> </w:t>
      </w:r>
      <w:r>
        <w:t xml:space="preserve">Will utilize the new AI-integrated dashboard that provides real-time risk scoring and document anomaly detection.</w:t>
      </w:r>
    </w:p>
    <w:bookmarkEnd w:id="21"/>
    <w:bookmarkStart w:id="22" w:name="procedure"/>
    <w:p>
      <w:pPr>
        <w:pStyle w:val="Heading3"/>
      </w:pPr>
      <w:r>
        <w:t xml:space="preserve">3.2 Procedure</w:t>
      </w:r>
    </w:p>
    <w:p>
      <w:pPr>
        <w:pStyle w:val="FirstParagraph"/>
      </w:pPr>
      <w:r>
        <w:t xml:space="preserve">The experiment will proceed in three phases:</w:t>
      </w:r>
    </w:p>
    <w:p>
      <w:pPr>
        <w:numPr>
          <w:ilvl w:val="0"/>
          <w:numId w:val="1003"/>
        </w:numPr>
        <w:pStyle w:val="Compact"/>
      </w:pPr>
      <w:r>
        <w:rPr>
          <w:bCs/>
          <w:b/>
        </w:rPr>
        <w:t xml:space="preserve">Training Phase (Week 1):</w:t>
      </w:r>
      <w:r>
        <w:t xml:space="preserve"> </w:t>
      </w:r>
      <w:r>
        <w:t xml:space="preserve">The Experimental Group will undergo intensive training on the new system. The Control Group will receive a briefing on the study to ensure consistency in awareness.</w:t>
      </w:r>
    </w:p>
    <w:p>
      <w:pPr>
        <w:numPr>
          <w:ilvl w:val="0"/>
          <w:numId w:val="1003"/>
        </w:numPr>
        <w:pStyle w:val="Compact"/>
      </w:pPr>
      <w:r>
        <w:rPr>
          <w:bCs/>
          <w:b/>
        </w:rPr>
        <w:t xml:space="preserve">Data Collection Phase (Weeks 2-11):</w:t>
      </w:r>
      <w:r>
        <w:t xml:space="preserve"> </w:t>
      </w:r>
      <w:r>
        <w:t xml:space="preserve">Both groups will perform their standard duties. Data regarding processing times, inspection outcomes, and system interactions will be logged automatically.</w:t>
      </w:r>
    </w:p>
    <w:p>
      <w:pPr>
        <w:numPr>
          <w:ilvl w:val="0"/>
          <w:numId w:val="1003"/>
        </w:numPr>
        <w:pStyle w:val="Compact"/>
      </w:pPr>
      <w:r>
        <w:rPr>
          <w:bCs/>
          <w:b/>
        </w:rPr>
        <w:t xml:space="preserve">Feedback Phase (Week 12):</w:t>
      </w:r>
      <w:r>
        <w:t xml:space="preserve"> </w:t>
      </w:r>
      <w:r>
        <w:t xml:space="preserve">Participants will complete structured surveys regarding system usability and operational stress levels.</w:t>
      </w:r>
    </w:p>
    <w:bookmarkEnd w:id="22"/>
    <w:p>
      <w:pPr>
        <w:pStyle w:val="FirstParagraph"/>
      </w:pPr>
      <w:r>
        <w:t xml:space="preserve">4. Variables and Metrics</w:t>
      </w:r>
    </w:p>
    <w:p>
      <w:pPr>
        <w:pStyle w:val="BodyText"/>
      </w:pPr>
      <w:r>
        <w:t xml:space="preserve">The following variables will be monitored to ensure the validity of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Variable Type</w:t>
            </w:r>
          </w:p>
        </w:tc>
        <w:tc>
          <w:tcPr/>
          <w:p>
            <w:pPr>
              <w:pStyle w:val="Compact"/>
              <w:jc w:val="left"/>
            </w:pPr>
            <w:r>
              <w:t xml:space="preserve">Variable Name</w:t>
            </w:r>
          </w:p>
        </w:tc>
        <w:tc>
          <w:tcPr/>
          <w:p>
            <w:pPr>
              <w:pStyle w:val="Compact"/>
              <w:jc w:val="left"/>
            </w:pPr>
            <w:r>
              <w:t xml:space="preserve">Description</w:t>
            </w:r>
          </w:p>
        </w:tc>
      </w:tr>
      <w:tr>
        <w:tc>
          <w:tcPr/>
          <w:p>
            <w:pPr>
              <w:pStyle w:val="Compact"/>
              <w:jc w:val="left"/>
            </w:pPr>
            <w:r>
              <w:t xml:space="preserve">Independent</w:t>
            </w:r>
          </w:p>
        </w:tc>
        <w:tc>
          <w:tcPr/>
          <w:p>
            <w:pPr>
              <w:pStyle w:val="Compact"/>
              <w:jc w:val="left"/>
            </w:pPr>
            <w:r>
              <w:t xml:space="preserve">System Interface</w:t>
            </w:r>
          </w:p>
        </w:tc>
        <w:tc>
          <w:tcPr/>
          <w:p>
            <w:pPr>
              <w:pStyle w:val="Compact"/>
              <w:jc w:val="left"/>
            </w:pPr>
            <w:r>
              <w:t xml:space="preserve">Legacy System vs. AI-Assisted Dashboard.</w:t>
            </w:r>
          </w:p>
        </w:tc>
      </w:tr>
      <w:tr>
        <w:tc>
          <w:tcPr/>
          <w:p>
            <w:pPr>
              <w:pStyle w:val="Compact"/>
              <w:jc w:val="left"/>
            </w:pPr>
            <w:r>
              <w:t xml:space="preserve">Dependent</w:t>
            </w:r>
          </w:p>
        </w:tc>
        <w:tc>
          <w:tcPr/>
          <w:p>
            <w:pPr>
              <w:pStyle w:val="Compact"/>
              <w:jc w:val="left"/>
            </w:pPr>
            <w:r>
              <w:t xml:space="preserve">Clearance Time</w:t>
            </w:r>
          </w:p>
        </w:tc>
        <w:tc>
          <w:tcPr/>
          <w:p>
            <w:pPr>
              <w:pStyle w:val="Compact"/>
              <w:jc w:val="left"/>
            </w:pPr>
            <w:r>
              <w:t xml:space="preserve">Time elapsed from document submission to final release decision.</w:t>
            </w:r>
          </w:p>
        </w:tc>
      </w:tr>
      <w:tr>
        <w:tc>
          <w:tcPr/>
          <w:p>
            <w:pPr>
              <w:pStyle w:val="Compact"/>
              <w:jc w:val="left"/>
            </w:pPr>
            <w:r>
              <w:t xml:space="preserve">Dependent</w:t>
            </w:r>
          </w:p>
        </w:tc>
        <w:tc>
          <w:tcPr/>
          <w:p>
            <w:pPr>
              <w:pStyle w:val="Compact"/>
              <w:jc w:val="left"/>
            </w:pPr>
            <w:r>
              <w:t xml:space="preserve">Detection Rate</w:t>
            </w:r>
          </w:p>
        </w:tc>
        <w:tc>
          <w:tcPr/>
          <w:p>
            <w:pPr>
              <w:pStyle w:val="Compact"/>
              <w:jc w:val="left"/>
            </w:pPr>
            <w:r>
              <w:t xml:space="preserve">Percentage of non-compliant or prohibited items identified.</w:t>
            </w:r>
          </w:p>
        </w:tc>
      </w:tr>
      <w:tr>
        <w:tc>
          <w:tcPr/>
          <w:p>
            <w:pPr>
              <w:pStyle w:val="Compact"/>
              <w:jc w:val="left"/>
            </w:pPr>
            <w:r>
              <w:t xml:space="preserve">Control</w:t>
            </w:r>
          </w:p>
        </w:tc>
        <w:tc>
          <w:tcPr/>
          <w:p>
            <w:pPr>
              <w:pStyle w:val="Compact"/>
              <w:jc w:val="left"/>
            </w:pPr>
            <w:r>
              <w:t xml:space="preserve">Cargo Volume</w:t>
            </w:r>
          </w:p>
        </w:tc>
        <w:tc>
          <w:tcPr/>
          <w:p>
            <w:pPr>
              <w:pStyle w:val="Compact"/>
              <w:jc w:val="left"/>
            </w:pPr>
            <w:r>
              <w:t xml:space="preserve">Number of containers processed per shift.</w:t>
            </w:r>
          </w:p>
        </w:tc>
      </w:tr>
      <w:tr>
        <w:tc>
          <w:tcPr/>
          <w:p>
            <w:pPr>
              <w:pStyle w:val="Compact"/>
              <w:jc w:val="left"/>
            </w:pPr>
            <w:r>
              <w:t xml:space="preserve">Control</w:t>
            </w:r>
          </w:p>
        </w:tc>
        <w:tc>
          <w:tcPr/>
          <w:p>
            <w:pPr>
              <w:pStyle w:val="Compact"/>
              <w:jc w:val="left"/>
            </w:pPr>
            <w:r>
              <w:t xml:space="preserve">Officer Experience</w:t>
            </w:r>
          </w:p>
        </w:tc>
        <w:tc>
          <w:tcPr/>
          <w:p>
            <w:pPr>
              <w:pStyle w:val="Compact"/>
              <w:jc w:val="left"/>
            </w:pPr>
            <w:r>
              <w:t xml:space="preserve">Years of service in Jeddah port operations.</w:t>
            </w:r>
          </w:p>
        </w:tc>
      </w:tr>
    </w:tbl>
    <w:p>
      <w:pPr>
        <w:pStyle w:val="BodyText"/>
      </w:pPr>
      <w:r>
        <w:t xml:space="preserve">5. Ethical Considerations and Compliance</w:t>
      </w:r>
    </w:p>
    <w:p>
      <w:pPr>
        <w:pStyle w:val="BodyText"/>
      </w:pPr>
      <w:r>
        <w:t xml:space="preserve">Given the sensitive nature of customs operations in Saudi Arabia, strict ethical guidelines will be observed. All data collected will be anonymized to protect the identity of the Customs Officers. The experiment has been reviewed and approved by the internal ethics committee of the Saudi Customs Authority.</w:t>
      </w:r>
    </w:p>
    <w:p>
      <w:pPr>
        <w:pStyle w:val="BodyText"/>
      </w:pPr>
      <w:r>
        <w:t xml:space="preserve">Participants have the right to withdraw from the study at any time without penalty to their employment status. Furthermore, the experiment is designed to ensure that national security protocols are never compromised; the AI tool serves only as an advisory mechanism, with the final decision-making authority remaining solely with the human Customs Officer.</w:t>
      </w:r>
    </w:p>
    <w:p>
      <w:pPr>
        <w:pStyle w:val="BodyText"/>
      </w:pPr>
      <w:r>
        <w:t xml:space="preserve">6. Data Analysis Plan</w:t>
      </w:r>
    </w:p>
    <w:p>
      <w:pPr>
        <w:pStyle w:val="BodyText"/>
      </w:pPr>
      <w:r>
        <w:t xml:space="preserve">Quantitative data will be analyzed using statistical software (SPSS or R). An independent samples t-test will be used to compare the mean clearance times and detection rates between the Control and Experimental groups. Qualitative data from the feedback surveys will be analyzed using thematic analysis to identify common pain points or benefits reported by the officers in Jeddah.</w:t>
      </w:r>
    </w:p>
    <w:p>
      <w:pPr>
        <w:pStyle w:val="BodyText"/>
      </w:pPr>
      <w:r>
        <w:t xml:space="preserve">The significance level for all statistical tests will be set at p &lt; 0.05. Results will be compiled into a final report detailing the operational impact of the new technology on the efficiency of Customs Officers in the Kingdom.</w:t>
      </w:r>
    </w:p>
    <w:p>
      <w:pPr>
        <w:pStyle w:val="BodyText"/>
      </w:pPr>
      <w:r>
        <w:rPr>
          <w:bCs/>
          <w:b/>
        </w:rPr>
        <w:t xml:space="preserve">Prepared by:</w:t>
      </w:r>
      <w:r>
        <w:t xml:space="preserve"> </w:t>
      </w:r>
      <w:r>
        <w:t xml:space="preserve">Department of Operational Research, Saudi Customs Authority</w:t>
      </w:r>
    </w:p>
    <w:p>
      <w:pPr>
        <w:pStyle w:val="BodyText"/>
      </w:pPr>
      <w:r>
        <w:rPr>
          <w:bCs/>
          <w:b/>
        </w:rPr>
        <w:t xml:space="preserve">Approved by:</w:t>
      </w:r>
      <w:r>
        <w:t xml:space="preserve"> </w:t>
      </w:r>
      <w:r>
        <w:t xml:space="preserve">Director General of Jeddah Port Operations</w:t>
      </w:r>
    </w:p>
    <w:p>
      <w:pPr>
        <w:pStyle w:val="BodyText"/>
      </w:pPr>
      <w:r>
        <w:rPr>
          <w:iCs/>
          <w:i/>
        </w:rPr>
        <w:t xml:space="preserve">This document is confidential and intended for internal use within the Kingdom of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Performance Evaluation - Jeddah, Saudi Arabia</dc:title>
  <dc:creator/>
  <dc:language>en</dc:language>
  <cp:keywords/>
  <dcterms:created xsi:type="dcterms:W3CDTF">2026-10-10T06:58:29Z</dcterms:created>
  <dcterms:modified xsi:type="dcterms:W3CDTF">2026-10-10T06:58:29Z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