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Australia</w:t>
      </w:r>
      <w:r>
        <w:t xml:space="preserve"> </w:t>
      </w:r>
      <w:r>
        <w:t xml:space="preserve">Melbourne</w:t>
      </w:r>
    </w:p>
    <w:bookmarkStart w:id="20" w:name="X6003b07494342059f626c46ea01be905cc6d9d7"/>
    <w:p>
      <w:pPr>
        <w:pStyle w:val="Heading1"/>
      </w:pPr>
      <w:r>
        <w:t xml:space="preserve">Experiment Protocol: Behavioral Decision-Making Under Uncertainty</w:t>
      </w:r>
    </w:p>
    <w:p>
      <w:pPr>
        <w:pStyle w:val="FirstParagraph"/>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Department of Economics, University of Melbourne</w:t>
      </w:r>
    </w:p>
    <w:p>
      <w:pPr>
        <w:pStyle w:val="BodyText"/>
      </w:pPr>
      <w:r>
        <w:rPr>
          <w:bCs/>
          <w:b/>
        </w:rPr>
        <w:t xml:space="preserve">Location:</w:t>
      </w:r>
      <w:r>
        <w:t xml:space="preserve"> </w:t>
      </w:r>
      <w:r>
        <w:t xml:space="preserve">Australia Melbourne, Victoria</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study investigating the decision-making processes of professional Economists when faced with high-stakes uncertainty. While traditional economic theory posits that agents act rationally to maximize utility, behavioral economics suggests that cognitive biases significantly influence outcomes. This study specifically targets the demographic of Economists operating within the unique socio-economic landscape of Australia Melbourne.</w:t>
      </w:r>
    </w:p>
    <w:p>
      <w:pPr>
        <w:pStyle w:val="BodyText"/>
      </w:pPr>
      <w:r>
        <w:t xml:space="preserve">Melbourne serves as a critical case study due to its status as a major financial hub in the Asia-Pacific region, characterized by a diverse labor market, fluctuating housing prices, and distinct regulatory environments. By focusing on Economists in this specific locale, we aim to determine if local market conditions and cultural factors in Australia Melbourne influence the theoretical adherence of economic professionals compared to global averages.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extent to which Economists in Australia Melbourne exhibit loss aversion and framing effects in simulated market scenarios.</w:t>
      </w:r>
    </w:p>
    <w:p>
      <w:pPr>
        <w:numPr>
          <w:ilvl w:val="0"/>
          <w:numId w:val="1001"/>
        </w:numPr>
        <w:pStyle w:val="Compact"/>
      </w:pPr>
      <w:r>
        <w:t xml:space="preserve">To compare the risk tolerance of Melbourne-based Economists against established global benchmarks.</w:t>
      </w:r>
    </w:p>
    <w:p>
      <w:pPr>
        <w:numPr>
          <w:ilvl w:val="0"/>
          <w:numId w:val="1001"/>
        </w:numPr>
        <w:pStyle w:val="Compact"/>
      </w:pPr>
      <w:r>
        <w:t xml:space="preserve">To evaluate the impact of local Australian regulatory knowledge on decision-making speed and accuracy.</w:t>
      </w:r>
    </w:p>
    <w:p>
      <w:pPr>
        <w:numPr>
          <w:ilvl w:val="0"/>
          <w:numId w:val="1001"/>
        </w:numPr>
        <w:pStyle w:val="Compact"/>
      </w:pPr>
      <w:r>
        <w:t xml:space="preserve">To gather empirical data that can refine economic models used in policy-making within Victoria and the broader Australian context.</w:t>
      </w:r>
    </w:p>
    <w:bookmarkEnd w:id="22"/>
    <w:bookmarkStart w:id="23" w:name="ethical-considerations-and-compliance"/>
    <w:p>
      <w:pPr>
        <w:pStyle w:val="Heading2"/>
      </w:pPr>
      <w:r>
        <w:t xml:space="preserve">3. Ethical Considerations and Compliance</w:t>
      </w:r>
    </w:p>
    <w:p>
      <w:pPr>
        <w:pStyle w:val="FirstParagraph"/>
      </w:pPr>
      <w:r>
        <w:t xml:space="preserve">This study strictly adheres to the National Statement on Ethical Conduct in Human Research (2007) as mandated by the National Health and Medical Research Council (NHMRC) of Australia. The protocol has been submitted for review to the Human Research Ethics Committee (HREC) of the University of Melbourne.</w:t>
      </w:r>
    </w:p>
    <w:p>
      <w:pPr>
        <w:pStyle w:val="BodyText"/>
      </w:pPr>
      <w:r>
        <w:t xml:space="preserve">Key ethical safeguards include:</w:t>
      </w:r>
    </w:p>
    <w:p>
      <w:pPr>
        <w:numPr>
          <w:ilvl w:val="0"/>
          <w:numId w:val="1002"/>
        </w:numPr>
        <w:pStyle w:val="Compact"/>
      </w:pPr>
      <w:r>
        <w:rPr>
          <w:bCs/>
          <w:b/>
        </w:rPr>
        <w:t xml:space="preserve">Informed Consent:</w:t>
      </w:r>
      <w:r>
        <w:t xml:space="preserve"> </w:t>
      </w:r>
      <w:r>
        <w:t xml:space="preserve">All participants must sign a digital consent form detailing the nature of the experiment, their right to withdraw at any time without penalty, and data usage policies.</w:t>
      </w:r>
    </w:p>
    <w:p>
      <w:pPr>
        <w:numPr>
          <w:ilvl w:val="0"/>
          <w:numId w:val="1002"/>
        </w:numPr>
        <w:pStyle w:val="Compact"/>
      </w:pPr>
      <w:r>
        <w:rPr>
          <w:bCs/>
          <w:b/>
        </w:rPr>
        <w:t xml:space="preserve">Confidentiality:</w:t>
      </w:r>
      <w:r>
        <w:t xml:space="preserve"> </w:t>
      </w:r>
      <w:r>
        <w:t xml:space="preserve">Given the professional status of the participants (Economists), all data will be anonymized. No individual responses will be linked to specific employers in Melbourne.</w:t>
      </w:r>
    </w:p>
    <w:p>
      <w:pPr>
        <w:numPr>
          <w:ilvl w:val="0"/>
          <w:numId w:val="1002"/>
        </w:numPr>
        <w:pStyle w:val="Compact"/>
      </w:pPr>
      <w:r>
        <w:rPr>
          <w:bCs/>
          <w:b/>
        </w:rPr>
        <w:t xml:space="preserve">Psychological Safety:</w:t>
      </w:r>
      <w:r>
        <w:t xml:space="preserve"> </w:t>
      </w:r>
      <w:r>
        <w:t xml:space="preserve">Scenarios will be designed to avoid inducing undue stress or anxiety, despite simulating high-stakes financial environments.</w:t>
      </w:r>
    </w:p>
    <w:bookmarkEnd w:id="23"/>
    <w:bookmarkStart w:id="24" w:name="participant-selection-and-recruitment"/>
    <w:p>
      <w:pPr>
        <w:pStyle w:val="Heading2"/>
      </w:pPr>
      <w:r>
        <w:t xml:space="preserve">4. Participant Selection and Recruitment</w:t>
      </w:r>
    </w:p>
    <w:p>
      <w:pPr>
        <w:pStyle w:val="FirstParagraph"/>
      </w:pPr>
      <w:r>
        <w:t xml:space="preserve">The target population for this experiment consists of qualified Economists currently residing and working in Australia Melbourne. To ensure a robust sample size and representativeness, the following criteria apply:</w:t>
      </w:r>
    </w:p>
    <w:p>
      <w:pPr>
        <w:numPr>
          <w:ilvl w:val="0"/>
          <w:numId w:val="1003"/>
        </w:numPr>
        <w:pStyle w:val="Compact"/>
      </w:pPr>
      <w:r>
        <w:rPr>
          <w:bCs/>
          <w:b/>
        </w:rPr>
        <w:t xml:space="preserve">Inclusion Criteria:</w:t>
      </w:r>
    </w:p>
    <w:p>
      <w:pPr>
        <w:numPr>
          <w:ilvl w:val="1"/>
          <w:numId w:val="1004"/>
        </w:numPr>
        <w:pStyle w:val="Compact"/>
      </w:pPr>
      <w:r>
        <w:t xml:space="preserve">Must hold a minimum of a Bachelor’s degree in Economics or a related field.</w:t>
      </w:r>
    </w:p>
    <w:p>
      <w:pPr>
        <w:numPr>
          <w:ilvl w:val="1"/>
          <w:numId w:val="1004"/>
        </w:numPr>
        <w:pStyle w:val="Compact"/>
      </w:pPr>
      <w:r>
        <w:t xml:space="preserve">Must have at least two years of professional experience in the Australian market.</w:t>
      </w:r>
    </w:p>
    <w:p>
      <w:pPr>
        <w:numPr>
          <w:ilvl w:val="1"/>
          <w:numId w:val="1004"/>
        </w:numPr>
        <w:pStyle w:val="Compact"/>
      </w:pPr>
      <w:r>
        <w:t xml:space="preserve">Must be currently employed in sectors such as finance, government policy, academia, or consulting within the Melbourne metropolitan area.</w:t>
      </w:r>
    </w:p>
    <w:p>
      <w:pPr>
        <w:numPr>
          <w:ilvl w:val="0"/>
          <w:numId w:val="1003"/>
        </w:numPr>
        <w:pStyle w:val="Compact"/>
      </w:pPr>
      <w:r>
        <w:rPr>
          <w:bCs/>
          <w:b/>
        </w:rPr>
        <w:t xml:space="preserve">Recruitment Strategy:</w:t>
      </w:r>
    </w:p>
    <w:p>
      <w:pPr>
        <w:numPr>
          <w:ilvl w:val="1"/>
          <w:numId w:val="1005"/>
        </w:numPr>
        <w:pStyle w:val="Compact"/>
      </w:pPr>
      <w:r>
        <w:t xml:space="preserve">Collaboration with the Australian and New Zealand Association of Economists (ANZAE).</w:t>
      </w:r>
    </w:p>
    <w:p>
      <w:pPr>
        <w:numPr>
          <w:ilvl w:val="1"/>
          <w:numId w:val="1005"/>
        </w:numPr>
        <w:pStyle w:val="Compact"/>
      </w:pPr>
      <w:r>
        <w:t xml:space="preserve">Direct outreach to economic departments at the University of Melbourne, Monash University, and RMIT University.</w:t>
      </w:r>
    </w:p>
    <w:p>
      <w:pPr>
        <w:numPr>
          <w:ilvl w:val="1"/>
          <w:numId w:val="1005"/>
        </w:numPr>
        <w:pStyle w:val="Compact"/>
      </w:pPr>
      <w:r>
        <w:t xml:space="preserve">Targeted advertisements on professional networking platforms filtered by location (Melbourne) and job title (Economist).</w:t>
      </w:r>
    </w:p>
    <w:p>
      <w:pPr>
        <w:pStyle w:val="FirstParagraph"/>
      </w:pPr>
      <w:r>
        <w:t xml:space="preserve">The target sample size is 200 participants to allow for statistically significant subgroup analysis based on specialization and years of experience.</w:t>
      </w:r>
    </w:p>
    <w:bookmarkEnd w:id="24"/>
    <w:bookmarkStart w:id="28" w:name="experimental-design-and-procedure"/>
    <w:p>
      <w:pPr>
        <w:pStyle w:val="Heading2"/>
      </w:pPr>
      <w:r>
        <w:t xml:space="preserve">5. Experimental Design and Procedure</w:t>
      </w:r>
    </w:p>
    <w:p>
      <w:pPr>
        <w:pStyle w:val="FirstParagraph"/>
      </w:pPr>
      <w:r>
        <w:t xml:space="preserve">The experiment will be conducted in a controlled laboratory setting located in the Carlton campus of the University of Melbourne, as well as via a secure, randomized online platform for remote participants within the Melbourne region.</w:t>
      </w:r>
    </w:p>
    <w:bookmarkStart w:id="25" w:name="phase-1-baseline-assessment"/>
    <w:p>
      <w:pPr>
        <w:pStyle w:val="Heading3"/>
      </w:pPr>
      <w:r>
        <w:t xml:space="preserve">5.1 Phase 1: Baseline Assessment</w:t>
      </w:r>
    </w:p>
    <w:p>
      <w:pPr>
        <w:pStyle w:val="FirstParagraph"/>
      </w:pPr>
      <w:r>
        <w:t xml:space="preserve">Participants will complete a demographic survey and a standard risk-tolerance questionnaire. This phase establishes the baseline characteristics of the Economist cohort in Australia Melbourne.</w:t>
      </w:r>
    </w:p>
    <w:bookmarkEnd w:id="25"/>
    <w:bookmarkStart w:id="26" w:name="phase-2-simulated-market-scenarios"/>
    <w:p>
      <w:pPr>
        <w:pStyle w:val="Heading3"/>
      </w:pPr>
      <w:r>
        <w:t xml:space="preserve">5.2 Phase 2: Simulated Market Scenarios</w:t>
      </w:r>
    </w:p>
    <w:p>
      <w:pPr>
        <w:pStyle w:val="FirstParagraph"/>
      </w:pPr>
      <w:r>
        <w:t xml:space="preserve">Participants will engage in a series of interactive decision-making tasks. These scenarios are calibrated to reflect real-world economic conditions relevant to Australia Melbourne, such as:</w:t>
      </w:r>
    </w:p>
    <w:p>
      <w:pPr>
        <w:numPr>
          <w:ilvl w:val="0"/>
          <w:numId w:val="1006"/>
        </w:numPr>
        <w:pStyle w:val="Compact"/>
      </w:pPr>
      <w:r>
        <w:rPr>
          <w:bCs/>
          <w:b/>
        </w:rPr>
        <w:t xml:space="preserve">Housing Market Volatility:</w:t>
      </w:r>
      <w:r>
        <w:t xml:space="preserve"> </w:t>
      </w:r>
      <w:r>
        <w:t xml:space="preserve">Simulating investment decisions amidst fluctuating property prices typical of Melbourne’s inner-city suburbs.</w:t>
      </w:r>
    </w:p>
    <w:p>
      <w:pPr>
        <w:numPr>
          <w:ilvl w:val="0"/>
          <w:numId w:val="1006"/>
        </w:numPr>
        <w:pStyle w:val="Compact"/>
      </w:pPr>
      <w:r>
        <w:rPr>
          <w:bCs/>
          <w:b/>
        </w:rPr>
        <w:t xml:space="preserve">Interest Rate Adjustments:</w:t>
      </w:r>
      <w:r>
        <w:t xml:space="preserve"> </w:t>
      </w:r>
      <w:r>
        <w:t xml:space="preserve">Responding to hypothetical Reserve Bank of Australia (RBA) rate changes.</w:t>
      </w:r>
    </w:p>
    <w:p>
      <w:pPr>
        <w:numPr>
          <w:ilvl w:val="0"/>
          <w:numId w:val="1006"/>
        </w:numPr>
        <w:pStyle w:val="Compact"/>
      </w:pPr>
      <w:r>
        <w:rPr>
          <w:bCs/>
          <w:b/>
        </w:rPr>
        <w:t xml:space="preserve">Regulatory Compliance:</w:t>
      </w:r>
      <w:r>
        <w:t xml:space="preserve"> </w:t>
      </w:r>
      <w:r>
        <w:t xml:space="preserve">Making strategic business decisions under new Victorian state government regulations.</w:t>
      </w:r>
    </w:p>
    <w:p>
      <w:pPr>
        <w:pStyle w:val="FirstParagraph"/>
      </w:pPr>
      <w:r>
        <w:t xml:space="preserve">Each scenario will present participants with multiple choices, varying in risk and reward. The system will record the time taken to decide, the option selected, and the confidence level of the participant.</w:t>
      </w:r>
    </w:p>
    <w:bookmarkEnd w:id="26"/>
    <w:bookmarkStart w:id="27" w:name="phase-3-debriefing"/>
    <w:p>
      <w:pPr>
        <w:pStyle w:val="Heading3"/>
      </w:pPr>
      <w:r>
        <w:t xml:space="preserve">5.3 Phase 3: Debriefing</w:t>
      </w:r>
    </w:p>
    <w:p>
      <w:pPr>
        <w:pStyle w:val="FirstParagraph"/>
      </w:pPr>
      <w:r>
        <w:t xml:space="preserve">Upon completion, participants will be debriefed on the true purpose of the study. They will be offered a summary of the aggregate findings and a modest financial incentive for their time, consistent with Australian market standards for professional research participation.</w:t>
      </w:r>
    </w:p>
    <w:bookmarkEnd w:id="27"/>
    <w:bookmarkEnd w:id="28"/>
    <w:bookmarkStart w:id="29" w:name="data-analysis"/>
    <w:p>
      <w:pPr>
        <w:pStyle w:val="Heading2"/>
      </w:pPr>
      <w:r>
        <w:t xml:space="preserve">6. Data Analysis</w:t>
      </w:r>
    </w:p>
    <w:p>
      <w:pPr>
        <w:pStyle w:val="FirstParagraph"/>
      </w:pPr>
      <w:r>
        <w:t xml:space="preserve">Data will be analyzed using advanced econometric techniques. We will employ regression analysis to control for variables such as age, gender, and specific economic specialization. The focus will be on identifying deviations from rational choice theory. Special attention will be paid to whether the unique economic pressures of living and working in Australia Melbourne create distinct behavioral patterns among Economists compared to theoretical predictions.</w:t>
      </w:r>
    </w:p>
    <w:bookmarkEnd w:id="29"/>
    <w:bookmarkStart w:id="30" w:name="timeline-and-resource-allocation"/>
    <w:p>
      <w:pPr>
        <w:pStyle w:val="Heading2"/>
      </w:pPr>
      <w:r>
        <w:t xml:space="preserve">7. Timeline and Resource Allocation</w:t>
      </w:r>
    </w:p>
    <w:p>
      <w:pPr>
        <w:numPr>
          <w:ilvl w:val="0"/>
          <w:numId w:val="1007"/>
        </w:numPr>
        <w:pStyle w:val="Compact"/>
      </w:pPr>
      <w:r>
        <w:rPr>
          <w:bCs/>
          <w:b/>
        </w:rPr>
        <w:t xml:space="preserve">Months 1-2:</w:t>
      </w:r>
      <w:r>
        <w:t xml:space="preserve"> </w:t>
      </w:r>
      <w:r>
        <w:t xml:space="preserve">Ethics approval and recruitment.</w:t>
      </w:r>
    </w:p>
    <w:p>
      <w:pPr>
        <w:numPr>
          <w:ilvl w:val="0"/>
          <w:numId w:val="1007"/>
        </w:numPr>
        <w:pStyle w:val="Compact"/>
      </w:pPr>
      <w:r>
        <w:rPr>
          <w:bCs/>
          <w:b/>
        </w:rPr>
        <w:t xml:space="preserve">Months 3-5:</w:t>
      </w:r>
      <w:r>
        <w:t xml:space="preserve"> </w:t>
      </w:r>
      <w:r>
        <w:t xml:space="preserve">Data collection in Australia Melbourne.</w:t>
      </w:r>
    </w:p>
    <w:p>
      <w:pPr>
        <w:numPr>
          <w:ilvl w:val="0"/>
          <w:numId w:val="1007"/>
        </w:numPr>
        <w:pStyle w:val="Compact"/>
      </w:pPr>
      <w:r>
        <w:rPr>
          <w:bCs/>
          <w:b/>
        </w:rPr>
        <w:t xml:space="preserve">Months 6-7:</w:t>
      </w:r>
      <w:r>
        <w:t xml:space="preserve"> </w:t>
      </w:r>
      <w:r>
        <w:t xml:space="preserve">Data cleaning and analysis.</w:t>
      </w:r>
    </w:p>
    <w:p>
      <w:pPr>
        <w:numPr>
          <w:ilvl w:val="0"/>
          <w:numId w:val="1007"/>
        </w:numPr>
        <w:pStyle w:val="Compact"/>
      </w:pPr>
      <w:r>
        <w:rPr>
          <w:bCs/>
          <w:b/>
        </w:rPr>
        <w:t xml:space="preserve">Month 8:</w:t>
      </w:r>
      <w:r>
        <w:t xml:space="preserve"> </w:t>
      </w:r>
      <w:r>
        <w:t xml:space="preserve">Reporting and dissemination of results.</w:t>
      </w:r>
    </w:p>
    <w:p>
      <w:pPr>
        <w:pStyle w:val="FirstParagraph"/>
      </w:pPr>
      <w:r>
        <w:t xml:space="preserve">Budget allocation includes participant incentives, software licensing for the simulation platform, and personnel costs for research assistants based in Melbourne.</w:t>
      </w:r>
    </w:p>
    <w:bookmarkEnd w:id="30"/>
    <w:bookmarkStart w:id="31" w:name="conclusion"/>
    <w:p>
      <w:pPr>
        <w:pStyle w:val="Heading2"/>
      </w:pPr>
      <w:r>
        <w:t xml:space="preserve">8. Conclusion</w:t>
      </w:r>
    </w:p>
    <w:p>
      <w:pPr>
        <w:pStyle w:val="FirstParagraph"/>
      </w:pPr>
      <w:r>
        <w:t xml:space="preserve">This Experiment Protocol provides a rigorous framework for understanding the behavioral nuances of Economists in Australia Melbourne. By grounding the study in the local context, we aim to produce insights that are not only academically valuable but also practically applicable to economic policy and business strategy within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Australia Melbourne</dc:title>
  <dc:creator/>
  <dc:language>en</dc:language>
  <cp:keywords/>
  <dcterms:created xsi:type="dcterms:W3CDTF">2026-10-10T06:57:49Z</dcterms:created>
  <dcterms:modified xsi:type="dcterms:W3CDTF">2026-10-10T06:57:49Z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