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Brussels</w:t>
      </w:r>
    </w:p>
    <w:bookmarkStart w:id="20" w:name="Xbd178502f0c6df7d32326a1dc1d47dbe893d703"/>
    <w:p>
      <w:pPr>
        <w:pStyle w:val="Heading1"/>
      </w:pPr>
      <w:r>
        <w:t xml:space="preserve">Experiment Protocol: Behavioral Responses to Fiscal Policy Communication</w:t>
      </w:r>
    </w:p>
    <w:p>
      <w:pPr>
        <w:pStyle w:val="FirstParagraph"/>
      </w:pPr>
      <w:r>
        <w:rPr>
          <w:bCs/>
          <w:b/>
        </w:rPr>
        <w:t xml:space="preserve">Protocol ID:</w:t>
      </w:r>
      <w:r>
        <w:t xml:space="preserve"> </w:t>
      </w:r>
      <w:r>
        <w:t xml:space="preserve">BE-BRU-ECO-2024-001</w:t>
      </w:r>
    </w:p>
    <w:p>
      <w:pPr>
        <w:pStyle w:val="BodyText"/>
      </w:pPr>
      <w:r>
        <w:rPr>
          <w:bCs/>
          <w:b/>
        </w:rPr>
        <w:t xml:space="preserve">Principal Investigator:</w:t>
      </w:r>
      <w:r>
        <w:t xml:space="preserve"> </w:t>
      </w:r>
      <w:r>
        <w:t xml:space="preserve">Lead Economist, Department of Public Policy</w:t>
      </w:r>
    </w:p>
    <w:p>
      <w:pPr>
        <w:pStyle w:val="BodyText"/>
      </w:pPr>
      <w:r>
        <w:rPr>
          <w:bCs/>
          <w:b/>
        </w:rPr>
        <w:t xml:space="preserve">Location:</w:t>
      </w:r>
      <w:r>
        <w:t xml:space="preserve"> </w:t>
      </w:r>
      <w:r>
        <w:t xml:space="preserve">Brussels, Belgium (EU Quarter &amp; Municipal Districts)</w:t>
      </w:r>
    </w:p>
    <w:p>
      <w:pPr>
        <w:pStyle w:val="BodyText"/>
      </w:pPr>
      <w:r>
        <w:rPr>
          <w:bCs/>
          <w:b/>
        </w:rPr>
        <w:t xml:space="preserve">Date of Approval:</w:t>
      </w:r>
      <w:r>
        <w:t xml:space="preserve"> </w:t>
      </w:r>
      <w:r>
        <w:t xml:space="preserve">October 24, 2024</w:t>
      </w:r>
    </w:p>
    <w:p>
      <w:pPr>
        <w:pStyle w:val="BodyText"/>
      </w:pPr>
      <w:r>
        <w:rPr>
          <w:bCs/>
          <w:b/>
        </w:rPr>
        <w:t xml:space="preserve">Status:</w:t>
      </w:r>
      <w:r>
        <w:t xml:space="preserve"> </w:t>
      </w:r>
      <w:r>
        <w:t xml:space="preserve">Active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field study designed to analyze the behavioral impact of fiscal policy communication on household savings and consumption patterns. As an</w:t>
      </w:r>
      <w:r>
        <w:t xml:space="preserve"> </w:t>
      </w:r>
      <w:r>
        <w:rPr>
          <w:bCs/>
          <w:b/>
        </w:rPr>
        <w:t xml:space="preserve">Economist</w:t>
      </w:r>
      <w:r>
        <w:t xml:space="preserve"> </w:t>
      </w:r>
      <w:r>
        <w:t xml:space="preserve">operating within the complex regulatory and cultural landscape of</w:t>
      </w:r>
      <w:r>
        <w:t xml:space="preserve"> </w:t>
      </w:r>
      <w:r>
        <w:rPr>
          <w:bCs/>
          <w:b/>
        </w:rPr>
        <w:t xml:space="preserve">Belgium Brussels</w:t>
      </w:r>
      <w:r>
        <w:t xml:space="preserve">, it is imperative to understand how citizens interpret economic signals. Brussels serves as a unique microcosm, hosting both local residents and a transient international population, making it an ideal environment for testing economic theories regarding information asymmetry and decision-making under uncertainty.</w:t>
      </w:r>
    </w:p>
    <w:p>
      <w:pPr>
        <w:pStyle w:val="BodyText"/>
      </w:pPr>
      <w:r>
        <w:t xml:space="preserve">The primary objective is to determine whether framing economic incentives in terms of "loss avoidance" versus "gain acquisition" significantly alters compliance with new municipal energy efficiency subsidies. This study adheres to the highest standards of academic rigor and ethical compliance required for economic experimentation in the European Union.</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elasticity of demand for green energy subsidies among Brussels households based on communication framing.</w:t>
      </w:r>
    </w:p>
    <w:p>
      <w:pPr>
        <w:numPr>
          <w:ilvl w:val="0"/>
          <w:numId w:val="1001"/>
        </w:numPr>
        <w:pStyle w:val="Compact"/>
      </w:pPr>
      <w:r>
        <w:t xml:space="preserve">To assess the role of trust in public institutions (specifically the Brussels-Capital Region government) as a moderating variable in economic decision-making.</w:t>
      </w:r>
    </w:p>
    <w:p>
      <w:pPr>
        <w:numPr>
          <w:ilvl w:val="0"/>
          <w:numId w:val="1001"/>
        </w:numPr>
        <w:pStyle w:val="Compact"/>
      </w:pPr>
      <w:r>
        <w:t xml:space="preserve">To provide empirical data that can inform future fiscal policy design by the</w:t>
      </w:r>
      <w:r>
        <w:t xml:space="preserve"> </w:t>
      </w:r>
      <w:r>
        <w:rPr>
          <w:bCs/>
          <w:b/>
        </w:rPr>
        <w:t xml:space="preserve">Economist</w:t>
      </w:r>
      <w:r>
        <w:t xml:space="preserve"> </w:t>
      </w:r>
      <w:r>
        <w:t xml:space="preserve">team advising regional stakeholders.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Randomized Controlled Trial (RCT) design. Participants will be randomly assigned to one of three treatment groups or a control group. The experiment will be conducted over a period of six weeks during the autumn season in</w:t>
      </w:r>
      <w:r>
        <w:t xml:space="preserve"> </w:t>
      </w:r>
      <w:r>
        <w:rPr>
          <w:bCs/>
          <w:b/>
        </w:rPr>
        <w:t xml:space="preserve">Belgium Brussels</w:t>
      </w:r>
      <w:r>
        <w:t xml:space="preserve">, a period characterized by increased energy consumption.</w:t>
      </w:r>
    </w:p>
    <w:bookmarkEnd w:id="23"/>
    <w:bookmarkStart w:id="24" w:name="sampling-strategy"/>
    <w:p>
      <w:pPr>
        <w:pStyle w:val="Heading3"/>
      </w:pPr>
      <w:r>
        <w:t xml:space="preserve">3.2 Sampling Strategy</w:t>
      </w:r>
    </w:p>
    <w:p>
      <w:pPr>
        <w:pStyle w:val="FirstParagraph"/>
      </w:pPr>
      <w:r>
        <w:t xml:space="preserve">The target population consists of tax-paying residents of the Brussels-Capital Region. To ensure representativeness, stratified random sampling will be used to account for linguistic diversity (French, Dutch, English) and socioeconomic status across different municipalities (e.g., Ixelles, Schaerbeek, Uccle).</w:t>
      </w:r>
    </w:p>
    <w:p>
      <w:pPr>
        <w:numPr>
          <w:ilvl w:val="0"/>
          <w:numId w:val="1002"/>
        </w:numPr>
        <w:pStyle w:val="Compact"/>
      </w:pPr>
      <w:r>
        <w:rPr>
          <w:bCs/>
          <w:b/>
        </w:rPr>
        <w:t xml:space="preserve">Sample Size:</w:t>
      </w:r>
      <w:r>
        <w:t xml:space="preserve"> </w:t>
      </w:r>
      <w:r>
        <w:t xml:space="preserve">N = 1,200 households.</w:t>
      </w:r>
    </w:p>
    <w:p>
      <w:pPr>
        <w:numPr>
          <w:ilvl w:val="0"/>
          <w:numId w:val="1002"/>
        </w:numPr>
        <w:pStyle w:val="Compact"/>
      </w:pPr>
      <w:r>
        <w:rPr>
          <w:bCs/>
          <w:b/>
        </w:rPr>
        <w:t xml:space="preserve">Inclusion Criteria:</w:t>
      </w:r>
      <w:r>
        <w:t xml:space="preserve"> </w:t>
      </w:r>
      <w:r>
        <w:t xml:space="preserve">Must be a primary resident of Brussels for at least 12 months; must be of legal age.</w:t>
      </w:r>
    </w:p>
    <w:p>
      <w:pPr>
        <w:numPr>
          <w:ilvl w:val="0"/>
          <w:numId w:val="1002"/>
        </w:numPr>
        <w:pStyle w:val="Compact"/>
      </w:pPr>
      <w:r>
        <w:rPr>
          <w:bCs/>
          <w:b/>
        </w:rPr>
        <w:t xml:space="preserve">Exclusion Criteria:</w:t>
      </w:r>
      <w:r>
        <w:t xml:space="preserve"> </w:t>
      </w:r>
      <w:r>
        <w:t xml:space="preserve">Individuals working in the public sector related to energy policy to avoid bias.</w:t>
      </w:r>
    </w:p>
    <w:bookmarkEnd w:id="24"/>
    <w:bookmarkStart w:id="25" w:name="experimental-conditions"/>
    <w:p>
      <w:pPr>
        <w:pStyle w:val="Heading3"/>
      </w:pPr>
      <w:r>
        <w:t xml:space="preserve">3.3 Experimental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Group</w:t>
            </w:r>
          </w:p>
        </w:tc>
        <w:tc>
          <w:tcPr/>
          <w:p>
            <w:pPr>
              <w:pStyle w:val="Compact"/>
              <w:jc w:val="left"/>
            </w:pPr>
            <w:r>
              <w:t xml:space="preserve">Intervention Description</w:t>
            </w:r>
          </w:p>
        </w:tc>
      </w:tr>
      <w:tr>
        <w:tc>
          <w:tcPr/>
          <w:p>
            <w:pPr>
              <w:pStyle w:val="Compact"/>
              <w:jc w:val="left"/>
            </w:pPr>
            <w:r>
              <w:rPr>
                <w:bCs/>
                <w:b/>
              </w:rPr>
              <w:t xml:space="preserve">Control Group</w:t>
            </w:r>
          </w:p>
        </w:tc>
        <w:tc>
          <w:tcPr/>
          <w:p>
            <w:pPr>
              <w:pStyle w:val="Compact"/>
              <w:jc w:val="left"/>
            </w:pPr>
            <w:r>
              <w:t xml:space="preserve">Receives standard informational brochure about the subsidy with neutral language.</w:t>
            </w:r>
          </w:p>
        </w:tc>
      </w:tr>
      <w:tr>
        <w:tc>
          <w:tcPr/>
          <w:p>
            <w:pPr>
              <w:pStyle w:val="Compact"/>
              <w:jc w:val="left"/>
            </w:pPr>
            <w:r>
              <w:rPr>
                <w:bCs/>
                <w:b/>
              </w:rPr>
              <w:t xml:space="preserve">Treatment A (Gain Frame)</w:t>
            </w:r>
          </w:p>
        </w:tc>
        <w:tc>
          <w:tcPr/>
          <w:p>
            <w:pPr>
              <w:pStyle w:val="Compact"/>
              <w:jc w:val="left"/>
            </w:pPr>
            <w:r>
              <w:t xml:space="preserve">Communication emphasizes the financial savings and benefits gained by participating.</w:t>
            </w:r>
          </w:p>
        </w:tc>
      </w:tr>
      <w:tr>
        <w:tc>
          <w:tcPr/>
          <w:p>
            <w:pPr>
              <w:pStyle w:val="Compact"/>
              <w:jc w:val="left"/>
            </w:pPr>
            <w:r>
              <w:rPr>
                <w:bCs/>
                <w:b/>
              </w:rPr>
              <w:t xml:space="preserve">Treatment B (Loss Frame)</w:t>
            </w:r>
          </w:p>
        </w:tc>
        <w:tc>
          <w:tcPr/>
          <w:p>
            <w:pPr>
              <w:pStyle w:val="Compact"/>
              <w:jc w:val="left"/>
            </w:pPr>
            <w:r>
              <w:t xml:space="preserve">Communication emphasizes the potential financial loss or penalty of not participating.</w:t>
            </w:r>
          </w:p>
        </w:tc>
      </w:tr>
      <w:tr>
        <w:tc>
          <w:tcPr/>
          <w:p>
            <w:pPr>
              <w:pStyle w:val="Compact"/>
              <w:jc w:val="left"/>
            </w:pPr>
            <w:r>
              <w:rPr>
                <w:bCs/>
                <w:b/>
              </w:rPr>
              <w:t xml:space="preserve">Treatment C (Social Norm)</w:t>
            </w:r>
          </w:p>
        </w:tc>
        <w:tc>
          <w:tcPr/>
          <w:p>
            <w:pPr>
              <w:pStyle w:val="Compact"/>
              <w:jc w:val="left"/>
            </w:pPr>
            <w:r>
              <w:t xml:space="preserve">Communication highlights that "most neighbors in Brussels" are already participating.</w:t>
            </w:r>
          </w:p>
        </w:tc>
      </w:tr>
    </w:tbl>
    <w:bookmarkEnd w:id="25"/>
    <w:bookmarkEnd w:id="26"/>
    <w:bookmarkStart w:id="27" w:name="procedure"/>
    <w:p>
      <w:pPr>
        <w:pStyle w:val="Heading2"/>
      </w:pPr>
      <w:r>
        <w:t xml:space="preserve">4. Procedure</w:t>
      </w:r>
    </w:p>
    <w:p>
      <w:pPr>
        <w:pStyle w:val="FirstParagraph"/>
      </w:pPr>
      <w:r>
        <w:t xml:space="preserve">The execution of this protocol requires precise coordination to maintain the integrity of the experiment.</w:t>
      </w:r>
    </w:p>
    <w:p>
      <w:pPr>
        <w:numPr>
          <w:ilvl w:val="0"/>
          <w:numId w:val="1003"/>
        </w:numPr>
        <w:pStyle w:val="Compact"/>
      </w:pPr>
      <w:r>
        <w:rPr>
          <w:bCs/>
          <w:b/>
        </w:rPr>
        <w:t xml:space="preserve">Recruitment:</w:t>
      </w:r>
      <w:r>
        <w:t xml:space="preserve"> </w:t>
      </w:r>
      <w:r>
        <w:t xml:space="preserve">Participants will be recruited via postal mail and digital platforms targeting Brussels residents. Informed consent will be obtained digitally.</w:t>
      </w:r>
    </w:p>
    <w:p>
      <w:pPr>
        <w:numPr>
          <w:ilvl w:val="0"/>
          <w:numId w:val="1003"/>
        </w:numPr>
        <w:pStyle w:val="Compact"/>
      </w:pPr>
      <w:r>
        <w:rPr>
          <w:bCs/>
          <w:b/>
        </w:rPr>
        <w:t xml:space="preserve">Randomization:</w:t>
      </w:r>
      <w:r>
        <w:t xml:space="preserve"> </w:t>
      </w:r>
      <w:r>
        <w:t xml:space="preserve">Upon consent, an automated algorithm will assign the participant to one of the four groups.</w:t>
      </w:r>
    </w:p>
    <w:p>
      <w:pPr>
        <w:numPr>
          <w:ilvl w:val="0"/>
          <w:numId w:val="1003"/>
        </w:numPr>
        <w:pStyle w:val="Compact"/>
      </w:pPr>
      <w:r>
        <w:rPr>
          <w:bCs/>
          <w:b/>
        </w:rPr>
        <w:t xml:space="preserve">Intervention Delivery:</w:t>
      </w:r>
      <w:r>
        <w:t xml:space="preserve"> </w:t>
      </w:r>
      <w:r>
        <w:t xml:space="preserve">Tailored communication materials will be sent via email and SMS. The</w:t>
      </w:r>
      <w:r>
        <w:t xml:space="preserve"> </w:t>
      </w:r>
      <w:r>
        <w:rPr>
          <w:bCs/>
          <w:b/>
        </w:rPr>
        <w:t xml:space="preserve">Economist</w:t>
      </w:r>
      <w:r>
        <w:t xml:space="preserve"> </w:t>
      </w:r>
      <w:r>
        <w:t xml:space="preserve">team will monitor delivery rates to ensure equal exposure.</w:t>
      </w:r>
    </w:p>
    <w:p>
      <w:pPr>
        <w:numPr>
          <w:ilvl w:val="0"/>
          <w:numId w:val="1003"/>
        </w:numPr>
        <w:pStyle w:val="Compact"/>
      </w:pPr>
      <w:r>
        <w:rPr>
          <w:bCs/>
          <w:b/>
        </w:rPr>
        <w:t xml:space="preserve">Data Collection:</w:t>
      </w:r>
      <w:r>
        <w:t xml:space="preserve"> </w:t>
      </w:r>
      <w:r>
        <w:t xml:space="preserve">Pre-intervention and post-intervention surveys will be administered. Additionally, anonymized aggregate data on subsidy applications will be tracked.</w:t>
      </w:r>
    </w:p>
    <w:p>
      <w:pPr>
        <w:numPr>
          <w:ilvl w:val="0"/>
          <w:numId w:val="1003"/>
        </w:numPr>
        <w:pStyle w:val="Compact"/>
      </w:pPr>
      <w:r>
        <w:rPr>
          <w:bCs/>
          <w:b/>
        </w:rPr>
        <w:t xml:space="preserve">Debriefing:</w:t>
      </w:r>
      <w:r>
        <w:t xml:space="preserve"> </w:t>
      </w:r>
      <w:r>
        <w:t xml:space="preserve">At the conclusion of the study, all participants will be fully debriefed regarding the nature of the experiment.</w:t>
      </w:r>
    </w:p>
    <w:bookmarkEnd w:id="27"/>
    <w:bookmarkStart w:id="28" w:name="ethical-considerations"/>
    <w:p>
      <w:pPr>
        <w:pStyle w:val="Heading2"/>
      </w:pPr>
      <w:r>
        <w:t xml:space="preserve">5. Ethical Considerations</w:t>
      </w:r>
    </w:p>
    <w:p>
      <w:pPr>
        <w:pStyle w:val="FirstParagraph"/>
      </w:pPr>
      <w:r>
        <w:t xml:space="preserve">This experiment strictly adheres to the General Data Protection Regulation (GDPR) and the ethical guidelines of the Belgian Federation of Economic and Management Sciences.</w:t>
      </w:r>
    </w:p>
    <w:p>
      <w:pPr>
        <w:pStyle w:val="BodyText"/>
      </w:pPr>
      <w:r>
        <w:rPr>
          <w:bCs/>
          <w:b/>
        </w:rPr>
        <w:t xml:space="preserve">Privacy Note:</w:t>
      </w:r>
      <w:r>
        <w:t xml:space="preserve"> </w:t>
      </w:r>
      <w:r>
        <w:t xml:space="preserve">All personal data collected in</w:t>
      </w:r>
      <w:r>
        <w:t xml:space="preserve"> </w:t>
      </w:r>
      <w:r>
        <w:rPr>
          <w:bCs/>
          <w:b/>
        </w:rPr>
        <w:t xml:space="preserve">Belgium Brussels</w:t>
      </w:r>
      <w:r>
        <w:t xml:space="preserve"> </w:t>
      </w:r>
      <w:r>
        <w:t xml:space="preserve">will be encrypted and stored on secure servers within the EU. No individual-level data will be shared with third parties. Participants may withdraw at any time without penalty.</w:t>
      </w:r>
    </w:p>
    <w:p>
      <w:pPr>
        <w:pStyle w:val="BodyText"/>
      </w:pPr>
      <w:r>
        <w:t xml:space="preserve">Special attention is paid to the potential psychological impact of the "Loss Frame" treatment. The wording is carefully calibrated to avoid inducing undue anxiety or distress, ensuring that the experiment remains within the bounds of acceptable risk for behavioral studies.</w:t>
      </w:r>
    </w:p>
    <w:bookmarkEnd w:id="28"/>
    <w:bookmarkStart w:id="29" w:name="data-analysis-plan"/>
    <w:p>
      <w:pPr>
        <w:pStyle w:val="Heading2"/>
      </w:pPr>
      <w:r>
        <w:t xml:space="preserve">6. Data Analysis Plan</w:t>
      </w:r>
    </w:p>
    <w:p>
      <w:pPr>
        <w:pStyle w:val="FirstParagraph"/>
      </w:pPr>
      <w:r>
        <w:t xml:space="preserve">The</w:t>
      </w:r>
      <w:r>
        <w:t xml:space="preserve"> </w:t>
      </w:r>
      <w:r>
        <w:rPr>
          <w:bCs/>
          <w:b/>
        </w:rPr>
        <w:t xml:space="preserve">Economist</w:t>
      </w:r>
      <w:r>
        <w:t xml:space="preserve"> </w:t>
      </w:r>
      <w:r>
        <w:t xml:space="preserve">leading the analysis will utilize econometric modeling to assess the causal impact of the interventions.</w:t>
      </w:r>
    </w:p>
    <w:p>
      <w:pPr>
        <w:numPr>
          <w:ilvl w:val="0"/>
          <w:numId w:val="1004"/>
        </w:numPr>
        <w:pStyle w:val="Compact"/>
      </w:pPr>
      <w:r>
        <w:rPr>
          <w:bCs/>
          <w:b/>
        </w:rPr>
        <w:t xml:space="preserve">Primary Analysis:</w:t>
      </w:r>
      <w:r>
        <w:t xml:space="preserve"> </w:t>
      </w:r>
      <w:r>
        <w:t xml:space="preserve">Difference-in-Differences (DiD) estimator to compare changes in application rates between treatment and control groups.</w:t>
      </w:r>
    </w:p>
    <w:p>
      <w:pPr>
        <w:numPr>
          <w:ilvl w:val="0"/>
          <w:numId w:val="1004"/>
        </w:numPr>
        <w:pStyle w:val="Compact"/>
      </w:pPr>
      <w:r>
        <w:rPr>
          <w:bCs/>
          <w:b/>
        </w:rPr>
        <w:t xml:space="preserve">Secondary Analysis:</w:t>
      </w:r>
      <w:r>
        <w:t xml:space="preserve"> </w:t>
      </w:r>
      <w:r>
        <w:t xml:space="preserve">Logistic regression to identify demographic predictors of responsiveness to different framing strategies.</w:t>
      </w:r>
    </w:p>
    <w:p>
      <w:pPr>
        <w:numPr>
          <w:ilvl w:val="0"/>
          <w:numId w:val="1004"/>
        </w:numPr>
        <w:pStyle w:val="Compact"/>
      </w:pPr>
      <w:r>
        <w:rPr>
          <w:bCs/>
          <w:b/>
        </w:rPr>
        <w:t xml:space="preserve">Robustness Checks:</w:t>
      </w:r>
      <w:r>
        <w:t xml:space="preserve"> </w:t>
      </w:r>
      <w:r>
        <w:t xml:space="preserve">Analysis will be repeated excluding outliers and controlling for external economic shocks occurring in Brussels during the study period.</w:t>
      </w:r>
    </w:p>
    <w:bookmarkEnd w:id="29"/>
    <w:bookmarkStart w:id="30" w:name="limitations-and-risk-management"/>
    <w:p>
      <w:pPr>
        <w:pStyle w:val="Heading2"/>
      </w:pPr>
      <w:r>
        <w:t xml:space="preserve">7. Limitations and Risk Management</w:t>
      </w:r>
    </w:p>
    <w:p>
      <w:pPr>
        <w:pStyle w:val="FirstParagraph"/>
      </w:pPr>
      <w:r>
        <w:t xml:space="preserve">Potential limitations include the Hawthorne effect, where participants alter behavior simply because they are being observed. To mitigate this, the study design minimizes direct interaction after the initial consent phase. Furthermore, the multilingual nature of Brussels requires rigorous translation validation to ensure that the economic concepts are conveyed identically across French, Dutch, and English versions of the materials.</w:t>
      </w:r>
    </w:p>
    <w:bookmarkEnd w:id="30"/>
    <w:bookmarkStart w:id="31" w:name="conclusion"/>
    <w:p>
      <w:pPr>
        <w:pStyle w:val="Heading2"/>
      </w:pPr>
      <w:r>
        <w:t xml:space="preserve">8. Conclusion</w:t>
      </w:r>
    </w:p>
    <w:p>
      <w:pPr>
        <w:pStyle w:val="FirstParagraph"/>
      </w:pPr>
      <w:r>
        <w:t xml:space="preserve">This Experiment Protocol provides a robust framework for investigating behavioral economic phenomena in a real-world setting. By focusing on the specific context of</w:t>
      </w:r>
      <w:r>
        <w:t xml:space="preserve"> </w:t>
      </w:r>
      <w:r>
        <w:rPr>
          <w:bCs/>
          <w:b/>
        </w:rPr>
        <w:t xml:space="preserve">Belgium Brussels</w:t>
      </w:r>
      <w:r>
        <w:t xml:space="preserve">, the findings will offer actionable insights for policymakers and contribute to the broader academic literature on fiscal communication. The rigorous application of economic principles ensures that the results will be both scientifically valid and practically relevant.</w:t>
      </w:r>
    </w:p>
    <w:p>
      <w:pPr>
        <w:pStyle w:val="BodyText"/>
      </w:pPr>
      <w:r>
        <w:t xml:space="preserve">© 2024 Brussels Economic Research Initiative. All rights reserved.</w:t>
      </w:r>
    </w:p>
    <w:p>
      <w:pPr>
        <w:pStyle w:val="BodyText"/>
      </w:pPr>
      <w:r>
        <w:t xml:space="preserve">Document Version 1.0 | Confidential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Brussels</dc:title>
  <dc:creator/>
  <dc:language>en</dc:language>
  <cp:keywords/>
  <dcterms:created xsi:type="dcterms:W3CDTF">2026-10-10T06:23:57Z</dcterms:created>
  <dcterms:modified xsi:type="dcterms:W3CDTF">2026-10-10T06:23:57Z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