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Economic</w:t>
      </w:r>
      <w:r>
        <w:t xml:space="preserve"> </w:t>
      </w:r>
      <w:r>
        <w:t xml:space="preserve">Behavior</w:t>
      </w:r>
      <w:r>
        <w:t xml:space="preserve"> </w:t>
      </w:r>
      <w:r>
        <w:t xml:space="preserve">in</w:t>
      </w:r>
      <w:r>
        <w:t xml:space="preserve"> </w:t>
      </w:r>
      <w:r>
        <w:t xml:space="preserve">Canada</w:t>
      </w:r>
      <w:r>
        <w:t xml:space="preserve"> </w:t>
      </w:r>
      <w:r>
        <w:t xml:space="preserve">Toronto</w:t>
      </w:r>
    </w:p>
    <w:bookmarkStart w:id="20" w:name="X11183936367e822e8687e97680c3b3c75a09a34"/>
    <w:p>
      <w:pPr>
        <w:pStyle w:val="Heading1"/>
      </w:pPr>
      <w:r>
        <w:t xml:space="preserve">Experiment Protocol: Behavioral Responses to Housing Policy Interventions</w:t>
      </w:r>
    </w:p>
    <w:p>
      <w:pPr>
        <w:pStyle w:val="FirstParagraph"/>
      </w:pPr>
      <w:r>
        <w:rPr>
          <w:bCs/>
          <w:b/>
        </w:rPr>
        <w:t xml:space="preserve">Document ID:</w:t>
      </w:r>
      <w:r>
        <w:t xml:space="preserve"> </w:t>
      </w:r>
      <w:r>
        <w:t xml:space="preserve">EXP-ECO-TOR-2024-001</w:t>
      </w:r>
    </w:p>
    <w:p>
      <w:pPr>
        <w:pStyle w:val="BodyText"/>
      </w:pPr>
      <w:r>
        <w:rPr>
          <w:bCs/>
          <w:b/>
        </w:rPr>
        <w:t xml:space="preserve">Location:</w:t>
      </w:r>
      <w:r>
        <w:t xml:space="preserve"> </w:t>
      </w:r>
      <w:r>
        <w:t xml:space="preserve">Canada Toronto (Greater Toronto Area)</w:t>
      </w:r>
    </w:p>
    <w:p>
      <w:pPr>
        <w:pStyle w:val="BodyText"/>
      </w:pPr>
      <w:r>
        <w:rPr>
          <w:bCs/>
          <w:b/>
        </w:rPr>
        <w:t xml:space="preserve">Discipline:</w:t>
      </w:r>
      <w:r>
        <w:t xml:space="preserve"> </w:t>
      </w:r>
      <w:r>
        <w:t xml:space="preserve">Experimental Economics</w:t>
      </w:r>
    </w:p>
    <w:p>
      <w:pPr>
        <w:pStyle w:val="BodyText"/>
      </w:pPr>
      <w:r>
        <w:rPr>
          <w:bCs/>
          <w:b/>
        </w:rPr>
        <w:t xml:space="preserve">Principal Investigator:</w:t>
      </w:r>
      <w:r>
        <w:t xml:space="preserve"> </w:t>
      </w:r>
      <w:r>
        <w:t xml:space="preserve">Lead Economist, Urban Policy Division</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experiment designed to analyze the decision-making processes of households in Canada Toronto regarding housing affordability and rental market dynamics. As an Economist, the primary objective is to move beyond theoretical models and observe actual human behavior in a high-density urban environment.</w:t>
      </w:r>
    </w:p>
    <w:p>
      <w:pPr>
        <w:pStyle w:val="BodyText"/>
      </w:pPr>
      <w:r>
        <w:t xml:space="preserve">Canada Toronto presents a unique laboratory for economic study due to its rapid population growth, high cost of living, and complex regulatory environment. The housing market in Toronto is characterized by significant volatility and intense competition. This experiment aims to quantify how specific policy signals—such as rent control adjustments or inclusionary zoning incentives—affect the willingness-to-pay and search behavior of prospective tenants.</w:t>
      </w:r>
    </w:p>
    <w:bookmarkEnd w:id="21"/>
    <w:bookmarkStart w:id="22" w:name="objectives"/>
    <w:p>
      <w:pPr>
        <w:pStyle w:val="Heading2"/>
      </w:pPr>
      <w:r>
        <w:t xml:space="preserve">2. Objectives</w:t>
      </w:r>
    </w:p>
    <w:p>
      <w:pPr>
        <w:pStyle w:val="FirstParagraph"/>
      </w:pPr>
      <w:r>
        <w:t xml:space="preserve">The core objectives of this study, led by the research Economist, are as follows:</w:t>
      </w:r>
    </w:p>
    <w:p>
      <w:pPr>
        <w:numPr>
          <w:ilvl w:val="0"/>
          <w:numId w:val="1001"/>
        </w:numPr>
        <w:pStyle w:val="Compact"/>
      </w:pPr>
      <w:r>
        <w:t xml:space="preserve">To measure the elasticity of demand for rental housing in response to simulated policy changes within the Canada Toronto market.</w:t>
      </w:r>
    </w:p>
    <w:p>
      <w:pPr>
        <w:numPr>
          <w:ilvl w:val="0"/>
          <w:numId w:val="1001"/>
        </w:numPr>
        <w:pStyle w:val="Compact"/>
      </w:pPr>
      <w:r>
        <w:t xml:space="preserve">To assess the impact of information asymmetry on tenant decision-making in the Greater Toronto Area.</w:t>
      </w:r>
    </w:p>
    <w:p>
      <w:pPr>
        <w:numPr>
          <w:ilvl w:val="0"/>
          <w:numId w:val="1001"/>
        </w:numPr>
        <w:pStyle w:val="Compact"/>
      </w:pPr>
      <w:r>
        <w:t xml:space="preserve">To evaluate the effectiveness of hypothetical government subsidies in mitigating housing stress among low-to-middle-income earners in Toronto.</w:t>
      </w:r>
    </w:p>
    <w:p>
      <w:pPr>
        <w:numPr>
          <w:ilvl w:val="0"/>
          <w:numId w:val="1001"/>
        </w:numPr>
        <w:pStyle w:val="Compact"/>
      </w:pPr>
      <w:r>
        <w:t xml:space="preserve">To provide empirical data to support evidence-based policy recommendations for municipal and provincial stakeholders.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Randomized Controlled Trial (RCT) framework. The experiment will be conducted via a digital platform simulating a realistic housing search environment. Participants will be recruited from diverse neighborhoods across Canada Toronto, including Downtown, North York, Scarborough, and Etobicoke, to ensure demographic representativeness.</w:t>
      </w:r>
    </w:p>
    <w:bookmarkEnd w:id="23"/>
    <w:bookmarkStart w:id="24" w:name="participant-recruitment"/>
    <w:p>
      <w:pPr>
        <w:pStyle w:val="Heading3"/>
      </w:pPr>
      <w:r>
        <w:t xml:space="preserve">3.2 Participant Recruitment</w:t>
      </w:r>
    </w:p>
    <w:p>
      <w:pPr>
        <w:pStyle w:val="FirstParagraph"/>
      </w:pPr>
      <w:r>
        <w:t xml:space="preserve">Recruitment will target individuals aged 18-65 who are currently renting or planning to rent within the next six months in Canada Toronto. A sample size of 1,200 participants is required to achieve statistical significance. Recruitment channels will include:</w:t>
      </w:r>
    </w:p>
    <w:p>
      <w:pPr>
        <w:numPr>
          <w:ilvl w:val="0"/>
          <w:numId w:val="1002"/>
        </w:numPr>
        <w:pStyle w:val="Compact"/>
      </w:pPr>
      <w:r>
        <w:t xml:space="preserve">Online advertisements on local Toronto community forums.</w:t>
      </w:r>
    </w:p>
    <w:p>
      <w:pPr>
        <w:numPr>
          <w:ilvl w:val="0"/>
          <w:numId w:val="1002"/>
        </w:numPr>
        <w:pStyle w:val="Compact"/>
      </w:pPr>
      <w:r>
        <w:t xml:space="preserve">Partnerships with post-secondary institutions in Toronto (e.g., University of Toronto, Ryerson University).</w:t>
      </w:r>
    </w:p>
    <w:p>
      <w:pPr>
        <w:numPr>
          <w:ilvl w:val="0"/>
          <w:numId w:val="1002"/>
        </w:numPr>
        <w:pStyle w:val="Compact"/>
      </w:pPr>
      <w:r>
        <w:t xml:space="preserve">Social media campaigns targeting users geolocated in the Greater Toronto Area.</w:t>
      </w:r>
    </w:p>
    <w:bookmarkEnd w:id="24"/>
    <w:bookmarkStart w:id="25" w:name="experimental-procedure"/>
    <w:p>
      <w:pPr>
        <w:pStyle w:val="Heading3"/>
      </w:pPr>
      <w:r>
        <w:t xml:space="preserve">3.3 Experimental Procedure</w:t>
      </w:r>
    </w:p>
    <w:p>
      <w:pPr>
        <w:pStyle w:val="FirstParagraph"/>
      </w:pPr>
      <w:r>
        <w:t xml:space="preserve">Upon consent, participants will be randomly assigned to one of three treatment groups. Each group will interact with a simulated housing marketplace featuring realistic listings, prices, and amenities typical of Canada Toronto.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Treatment Condition</w:t>
            </w:r>
          </w:p>
        </w:tc>
        <w:tc>
          <w:tcPr/>
          <w:p>
            <w:pPr>
              <w:pStyle w:val="Compact"/>
              <w:jc w:val="left"/>
            </w:pPr>
            <w:r>
              <w:t xml:space="preserve">Objective</w:t>
            </w:r>
          </w:p>
        </w:tc>
      </w:tr>
      <w:tr>
        <w:tc>
          <w:tcPr/>
          <w:p>
            <w:pPr>
              <w:pStyle w:val="Compact"/>
              <w:jc w:val="left"/>
            </w:pPr>
            <w:r>
              <w:t xml:space="preserve">Control Group</w:t>
            </w:r>
          </w:p>
        </w:tc>
        <w:tc>
          <w:tcPr/>
          <w:p>
            <w:pPr>
              <w:pStyle w:val="Compact"/>
              <w:jc w:val="left"/>
            </w:pPr>
            <w:r>
              <w:t xml:space="preserve">Standard market conditions with current average Toronto rental rates.</w:t>
            </w:r>
          </w:p>
        </w:tc>
        <w:tc>
          <w:tcPr/>
          <w:p>
            <w:pPr>
              <w:pStyle w:val="Compact"/>
              <w:jc w:val="left"/>
            </w:pPr>
            <w:r>
              <w:t xml:space="preserve">Establish baseline behavior.</w:t>
            </w:r>
          </w:p>
        </w:tc>
      </w:tr>
      <w:tr>
        <w:tc>
          <w:tcPr/>
          <w:p>
            <w:pPr>
              <w:pStyle w:val="Compact"/>
              <w:jc w:val="left"/>
            </w:pPr>
            <w:r>
              <w:t xml:space="preserve">Treatment A</w:t>
            </w:r>
          </w:p>
        </w:tc>
        <w:tc>
          <w:tcPr/>
          <w:p>
            <w:pPr>
              <w:pStyle w:val="Compact"/>
              <w:jc w:val="left"/>
            </w:pPr>
            <w:r>
              <w:t xml:space="preserve">Introduction of a hypothetical 5% rent cap on existing units.</w:t>
            </w:r>
          </w:p>
        </w:tc>
        <w:tc>
          <w:tcPr/>
          <w:p>
            <w:pPr>
              <w:pStyle w:val="Compact"/>
              <w:jc w:val="left"/>
            </w:pPr>
            <w:r>
              <w:t xml:space="preserve">Measure impact of rent control on search intensity.</w:t>
            </w:r>
          </w:p>
        </w:tc>
      </w:tr>
      <w:tr>
        <w:tc>
          <w:tcPr/>
          <w:p>
            <w:pPr>
              <w:pStyle w:val="Compact"/>
              <w:jc w:val="left"/>
            </w:pPr>
            <w:r>
              <w:t xml:space="preserve">Treatment B</w:t>
            </w:r>
          </w:p>
        </w:tc>
        <w:tc>
          <w:tcPr/>
          <w:p>
            <w:pPr>
              <w:pStyle w:val="Compact"/>
              <w:jc w:val="left"/>
            </w:pPr>
            <w:r>
              <w:t xml:space="preserve">Introduction of a direct housing allowance subsidy.</w:t>
            </w:r>
          </w:p>
        </w:tc>
        <w:tc>
          <w:tcPr/>
          <w:p>
            <w:pPr>
              <w:pStyle w:val="Compact"/>
              <w:jc w:val="left"/>
            </w:pPr>
            <w:r>
              <w:t xml:space="preserve">Measure impact of income support on housing choice.</w:t>
            </w:r>
          </w:p>
        </w:tc>
      </w:tr>
    </w:tbl>
    <w:p>
      <w:pPr>
        <w:pStyle w:val="BodyText"/>
      </w:pPr>
      <w:r>
        <w:t xml:space="preserve">The Economist overseeing the study will monitor real-time data to ensure the integrity of the simulation. Participants will make binding choices regarding which properties to apply for, how much time to spend searching, and their maximum acceptable rent.</w:t>
      </w:r>
    </w:p>
    <w:bookmarkEnd w:id="25"/>
    <w:bookmarkEnd w:id="26"/>
    <w:bookmarkStart w:id="27" w:name="data-collection-and-analysis"/>
    <w:p>
      <w:pPr>
        <w:pStyle w:val="Heading2"/>
      </w:pPr>
      <w:r>
        <w:t xml:space="preserve">4. Data Collection and Analysis</w:t>
      </w:r>
    </w:p>
    <w:p>
      <w:pPr>
        <w:pStyle w:val="FirstParagraph"/>
      </w:pPr>
      <w:r>
        <w:t xml:space="preserve">Data will be collected on participant demographics, income levels, search duration, application rates, and final housing selections. As an Economist, the analysis will employ econometric techniques, including regression discontinuity design and difference-in-differences estimation, to isolate the causal effects of the interventions.</w:t>
      </w:r>
    </w:p>
    <w:p>
      <w:pPr>
        <w:pStyle w:val="BodyText"/>
      </w:pPr>
      <w:r>
        <w:t xml:space="preserve">Special attention will be paid to heterogeneity in treatment effects across different neighborhoods in Canada Toronto. For instance, the impact of subsidies may vary significantly between the financial district and suburban areas.</w:t>
      </w:r>
    </w:p>
    <w:bookmarkEnd w:id="27"/>
    <w:bookmarkStart w:id="28" w:name="ethical-considerations"/>
    <w:p>
      <w:pPr>
        <w:pStyle w:val="Heading2"/>
      </w:pPr>
      <w:r>
        <w:t xml:space="preserve">5. Ethical Considerations</w:t>
      </w:r>
    </w:p>
    <w:p>
      <w:pPr>
        <w:pStyle w:val="FirstParagraph"/>
      </w:pPr>
      <w:r>
        <w:t xml:space="preserve">This experiment adheres strictly to the Tri-Council Policy Statement: Ethical Conduct for Research Involving Humans (TCPS 2), which is the standard for research in Canada.</w:t>
      </w:r>
    </w:p>
    <w:p>
      <w:pPr>
        <w:numPr>
          <w:ilvl w:val="0"/>
          <w:numId w:val="1003"/>
        </w:numPr>
        <w:pStyle w:val="Compact"/>
      </w:pPr>
      <w:r>
        <w:rPr>
          <w:bCs/>
          <w:b/>
        </w:rPr>
        <w:t xml:space="preserve">Informed Consent:</w:t>
      </w:r>
      <w:r>
        <w:t xml:space="preserve"> </w:t>
      </w:r>
      <w:r>
        <w:t xml:space="preserve">All participants will provide explicit informed consent before beginning the experiment.</w:t>
      </w:r>
    </w:p>
    <w:p>
      <w:pPr>
        <w:numPr>
          <w:ilvl w:val="0"/>
          <w:numId w:val="1003"/>
        </w:numPr>
        <w:pStyle w:val="Compact"/>
      </w:pPr>
      <w:r>
        <w:rPr>
          <w:bCs/>
          <w:b/>
        </w:rPr>
        <w:t xml:space="preserve">Privacy:</w:t>
      </w:r>
      <w:r>
        <w:t xml:space="preserve"> </w:t>
      </w:r>
      <w:r>
        <w:t xml:space="preserve">All personal data will be anonymized and stored securely in compliance with the Personal Information Protection and Electronic Documents Act (PIPEDA).</w:t>
      </w:r>
    </w:p>
    <w:p>
      <w:pPr>
        <w:numPr>
          <w:ilvl w:val="0"/>
          <w:numId w:val="1003"/>
        </w:numPr>
        <w:pStyle w:val="Compact"/>
      </w:pPr>
      <w:r>
        <w:rPr>
          <w:bCs/>
          <w:b/>
        </w:rPr>
        <w:t xml:space="preserve">Debriefing:</w:t>
      </w:r>
      <w:r>
        <w:t xml:space="preserve"> </w:t>
      </w:r>
      <w:r>
        <w:t xml:space="preserve">Participants will be fully debriefed upon completion, clarifying that the housing listings were simulated for research purposes.</w:t>
      </w:r>
    </w:p>
    <w:bookmarkEnd w:id="28"/>
    <w:bookmarkStart w:id="29" w:name="timeline"/>
    <w:p>
      <w:pPr>
        <w:pStyle w:val="Heading2"/>
      </w:pPr>
      <w:r>
        <w:t xml:space="preserve">6. Timeline</w:t>
      </w:r>
    </w:p>
    <w:p>
      <w:pPr>
        <w:numPr>
          <w:ilvl w:val="0"/>
          <w:numId w:val="1004"/>
        </w:numPr>
        <w:pStyle w:val="Compact"/>
      </w:pPr>
      <w:r>
        <w:rPr>
          <w:bCs/>
          <w:b/>
        </w:rPr>
        <w:t xml:space="preserve">Month 1-2:</w:t>
      </w:r>
      <w:r>
        <w:t xml:space="preserve"> </w:t>
      </w:r>
      <w:r>
        <w:t xml:space="preserve">Protocol finalization and ethics approval.</w:t>
      </w:r>
    </w:p>
    <w:p>
      <w:pPr>
        <w:numPr>
          <w:ilvl w:val="0"/>
          <w:numId w:val="1004"/>
        </w:numPr>
        <w:pStyle w:val="Compact"/>
      </w:pPr>
      <w:r>
        <w:rPr>
          <w:bCs/>
          <w:b/>
        </w:rPr>
        <w:t xml:space="preserve">Month 3:</w:t>
      </w:r>
      <w:r>
        <w:t xml:space="preserve"> </w:t>
      </w:r>
      <w:r>
        <w:t xml:space="preserve">Platform development and pilot testing in Toronto.</w:t>
      </w:r>
    </w:p>
    <w:p>
      <w:pPr>
        <w:numPr>
          <w:ilvl w:val="0"/>
          <w:numId w:val="1004"/>
        </w:numPr>
        <w:pStyle w:val="Compact"/>
      </w:pPr>
      <w:r>
        <w:rPr>
          <w:bCs/>
          <w:b/>
        </w:rPr>
        <w:t xml:space="preserve">Month 4-6:</w:t>
      </w:r>
      <w:r>
        <w:t xml:space="preserve"> </w:t>
      </w:r>
      <w:r>
        <w:t xml:space="preserve">Participant recruitment and data collection.</w:t>
      </w:r>
    </w:p>
    <w:p>
      <w:pPr>
        <w:numPr>
          <w:ilvl w:val="0"/>
          <w:numId w:val="1004"/>
        </w:numPr>
        <w:pStyle w:val="Compact"/>
      </w:pPr>
      <w:r>
        <w:rPr>
          <w:bCs/>
          <w:b/>
        </w:rPr>
        <w:t xml:space="preserve">Month 7-8:</w:t>
      </w:r>
      <w:r>
        <w:t xml:space="preserve"> </w:t>
      </w:r>
      <w:r>
        <w:t xml:space="preserve">Data analysis by the research Economist.</w:t>
      </w:r>
    </w:p>
    <w:p>
      <w:pPr>
        <w:numPr>
          <w:ilvl w:val="0"/>
          <w:numId w:val="1004"/>
        </w:numPr>
        <w:pStyle w:val="Compact"/>
      </w:pPr>
      <w:r>
        <w:rPr>
          <w:bCs/>
          <w:b/>
        </w:rPr>
        <w:t xml:space="preserve">Month 9:</w:t>
      </w:r>
      <w:r>
        <w:t xml:space="preserve"> </w:t>
      </w:r>
      <w:r>
        <w:t xml:space="preserve">Reporting and dissemination of findings.</w:t>
      </w:r>
    </w:p>
    <w:bookmarkEnd w:id="29"/>
    <w:bookmarkStart w:id="30" w:name="conclusion"/>
    <w:p>
      <w:pPr>
        <w:pStyle w:val="Heading2"/>
      </w:pPr>
      <w:r>
        <w:t xml:space="preserve">7. Conclusion</w:t>
      </w:r>
    </w:p>
    <w:p>
      <w:pPr>
        <w:pStyle w:val="FirstParagraph"/>
      </w:pPr>
      <w:r>
        <w:t xml:space="preserve">This Experiment Protocol provides a rigorous framework for investigating critical economic questions within the context of Canada Toronto. By leveraging experimental methods, the Economist leading this study aims to generate actionable insights that can inform housing policy and improve economic outcomes for residents of one of North America's most dynamic cities.</w:t>
      </w:r>
    </w:p>
    <w:p>
      <w:pPr>
        <w:pStyle w:val="BodyText"/>
      </w:pPr>
      <w:r>
        <w:t xml:space="preserve">© 2023 Urban Economic Research Group. All rights reserved. This document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Economic Behavior in Canada Toronto</dc:title>
  <dc:creator/>
  <dc:language>en</dc:language>
  <cp:keywords/>
  <dcterms:created xsi:type="dcterms:W3CDTF">2026-10-10T08:30:36Z</dcterms:created>
  <dcterms:modified xsi:type="dcterms:W3CDTF">2026-10-10T08:30:36Z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