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Behavioral</w:t>
      </w:r>
      <w:r>
        <w:t xml:space="preserve"> </w:t>
      </w:r>
      <w:r>
        <w:t xml:space="preserve">Economics</w:t>
      </w:r>
      <w:r>
        <w:t xml:space="preserve"> </w:t>
      </w:r>
      <w:r>
        <w:t xml:space="preserve">in</w:t>
      </w:r>
      <w:r>
        <w:t xml:space="preserve"> </w:t>
      </w:r>
      <w:r>
        <w:t xml:space="preserve">China</w:t>
      </w:r>
      <w:r>
        <w:t xml:space="preserve"> </w:t>
      </w:r>
      <w:r>
        <w:t xml:space="preserve">Guangzhou</w:t>
      </w:r>
    </w:p>
    <w:bookmarkStart w:id="20" w:name="X8bffc21d58400e93bd8f0dc905e637fa9b3a773"/>
    <w:p>
      <w:pPr>
        <w:pStyle w:val="Heading1"/>
      </w:pPr>
      <w:r>
        <w:t xml:space="preserve">Experiment Protocol: Behavioral Economics in China Guangzhou</w:t>
      </w:r>
    </w:p>
    <w:p>
      <w:pPr>
        <w:pStyle w:val="FirstParagraph"/>
      </w:pPr>
      <w:r>
        <w:rPr>
          <w:bCs/>
          <w:b/>
        </w:rPr>
        <w:t xml:space="preserve">Protocol ID:</w:t>
      </w:r>
      <w:r>
        <w:t xml:space="preserve"> </w:t>
      </w:r>
      <w:r>
        <w:t xml:space="preserve">BE-GZ-2024-001</w:t>
      </w:r>
    </w:p>
    <w:p>
      <w:pPr>
        <w:pStyle w:val="BodyText"/>
      </w:pPr>
      <w:r>
        <w:rPr>
          <w:bCs/>
          <w:b/>
        </w:rPr>
        <w:t xml:space="preserve">Location:</w:t>
      </w:r>
      <w:r>
        <w:t xml:space="preserve"> </w:t>
      </w:r>
      <w:r>
        <w:t xml:space="preserve">China Guangzhou (Tianhe District)</w:t>
      </w:r>
    </w:p>
    <w:p>
      <w:pPr>
        <w:pStyle w:val="BodyText"/>
      </w:pPr>
      <w:r>
        <w:rPr>
          <w:bCs/>
          <w:b/>
        </w:rPr>
        <w:t xml:space="preserve">Principal Investigator:</w:t>
      </w:r>
      <w:r>
        <w:t xml:space="preserve"> </w:t>
      </w:r>
      <w:r>
        <w:t xml:space="preserve">Lead Economist</w:t>
      </w:r>
    </w:p>
    <w:p>
      <w:pPr>
        <w:pStyle w:val="BodyText"/>
      </w:pPr>
      <w:r>
        <w:rPr>
          <w:bCs/>
          <w:b/>
        </w:rPr>
        <w:t xml:space="preserve">Date:</w:t>
      </w:r>
      <w:r>
        <w:t xml:space="preserve"> </w:t>
      </w:r>
      <w:r>
        <w:t xml:space="preserve">October 2023</w:t>
      </w:r>
    </w:p>
    <w:bookmarkEnd w:id="20"/>
    <w:bookmarkStart w:id="21" w:name="introduction-and-objective"/>
    <w:p>
      <w:pPr>
        <w:pStyle w:val="Heading2"/>
      </w:pPr>
      <w:r>
        <w:t xml:space="preserve">1. Introduction and Objective</w:t>
      </w:r>
    </w:p>
    <w:p>
      <w:pPr>
        <w:pStyle w:val="FirstParagraph"/>
      </w:pPr>
      <w:r>
        <w:t xml:space="preserve">This Experiment Protocol outlines the methodology for a field study conducted by an Economist in China Guangzhou. The primary objective is to analyze consumer decision-making processes regarding digital payment adoption and green consumption incentives within a rapidly urbanizing Chinese metropolis. As an Economist, the researcher aims to quantify how localized cultural factors in China Guangzhou influence economic behavior, specifically focusing on the elasticity of demand when presented with gamified financial rewards via mobile platforms.</w:t>
      </w:r>
    </w:p>
    <w:p>
      <w:pPr>
        <w:pStyle w:val="BodyText"/>
      </w:pPr>
      <w:r>
        <w:t xml:space="preserve">China Guangzhou serves as a critical case study due to its status as a major economic hub in the Pearl River Delta, characterized by high smartphone penetration and a unique blend of traditional commerce and modern fintech integration.</w:t>
      </w:r>
    </w:p>
    <w:bookmarkEnd w:id="21"/>
    <w:bookmarkStart w:id="24" w:name="target-population-and-sampling"/>
    <w:p>
      <w:pPr>
        <w:pStyle w:val="Heading2"/>
      </w:pPr>
      <w:r>
        <w:t xml:space="preserve">2. Target Population and Sampling</w:t>
      </w:r>
    </w:p>
    <w:bookmarkStart w:id="22" w:name="demographics"/>
    <w:p>
      <w:pPr>
        <w:pStyle w:val="Heading3"/>
      </w:pPr>
      <w:r>
        <w:t xml:space="preserve">2.1 Demographics</w:t>
      </w:r>
    </w:p>
    <w:p>
      <w:pPr>
        <w:pStyle w:val="FirstParagraph"/>
      </w:pPr>
      <w:r>
        <w:t xml:space="preserve">The study targets residents of China Guangzhou aged 18 to 45. This demographic represents the core workforce and primary consumers of digital financial services in the region. The sample will be stratified to ensure representation across different income levels and districts, including both high-density urban centers like Zhujiang New Town and residential areas in Baiyun District.</w:t>
      </w:r>
    </w:p>
    <w:bookmarkEnd w:id="22"/>
    <w:bookmarkStart w:id="23" w:name="sample-size"/>
    <w:p>
      <w:pPr>
        <w:pStyle w:val="Heading3"/>
      </w:pPr>
      <w:r>
        <w:t xml:space="preserve">2.2 Sample Size</w:t>
      </w:r>
    </w:p>
    <w:p>
      <w:pPr>
        <w:pStyle w:val="FirstParagraph"/>
      </w:pPr>
      <w:r>
        <w:t xml:space="preserve">To ensure statistical significance, the Economist will recruit a minimum of 600 participants. This sample size allows for a margin of error of approximately 4% at a 95% confidence level, providing robust data for econometric analysis.</w:t>
      </w:r>
    </w:p>
    <w:bookmarkEnd w:id="23"/>
    <w:bookmarkEnd w:id="24"/>
    <w:bookmarkStart w:id="27" w:name="methodology"/>
    <w:p>
      <w:pPr>
        <w:pStyle w:val="Heading2"/>
      </w:pPr>
      <w:r>
        <w:t xml:space="preserve">3. Methodology</w:t>
      </w:r>
    </w:p>
    <w:bookmarkStart w:id="25" w:name="experimental-design"/>
    <w:p>
      <w:pPr>
        <w:pStyle w:val="Heading3"/>
      </w:pPr>
      <w:r>
        <w:t xml:space="preserve">3.1 Experimental Design</w:t>
      </w:r>
    </w:p>
    <w:p>
      <w:pPr>
        <w:pStyle w:val="FirstParagraph"/>
      </w:pPr>
      <w:r>
        <w:t xml:space="preserve">The Economist will employ a randomized controlled trial (RCT) design. Participants will be randomly assigned to one of three groups:</w:t>
      </w:r>
    </w:p>
    <w:p>
      <w:pPr>
        <w:numPr>
          <w:ilvl w:val="0"/>
          <w:numId w:val="1001"/>
        </w:numPr>
        <w:pStyle w:val="Compact"/>
      </w:pPr>
      <w:r>
        <w:rPr>
          <w:bCs/>
          <w:b/>
        </w:rPr>
        <w:t xml:space="preserve">Control Group:</w:t>
      </w:r>
      <w:r>
        <w:t xml:space="preserve"> </w:t>
      </w:r>
      <w:r>
        <w:t xml:space="preserve">Receives standard information about local green consumption initiatives without financial incentives.</w:t>
      </w:r>
    </w:p>
    <w:p>
      <w:pPr>
        <w:numPr>
          <w:ilvl w:val="0"/>
          <w:numId w:val="1001"/>
        </w:numPr>
        <w:pStyle w:val="Compact"/>
      </w:pPr>
      <w:r>
        <w:rPr>
          <w:bCs/>
          <w:b/>
        </w:rPr>
        <w:t xml:space="preserve">Treatment Group A:</w:t>
      </w:r>
      <w:r>
        <w:t xml:space="preserve"> </w:t>
      </w:r>
      <w:r>
        <w:t xml:space="preserve">Receives direct monetary discounts for purchasing eco-friendly products.</w:t>
      </w:r>
    </w:p>
    <w:p>
      <w:pPr>
        <w:numPr>
          <w:ilvl w:val="0"/>
          <w:numId w:val="1001"/>
        </w:numPr>
        <w:pStyle w:val="Compact"/>
      </w:pPr>
      <w:r>
        <w:rPr>
          <w:bCs/>
          <w:b/>
        </w:rPr>
        <w:t xml:space="preserve">Treatment Group B:</w:t>
      </w:r>
      <w:r>
        <w:t xml:space="preserve"> </w:t>
      </w:r>
      <w:r>
        <w:t xml:space="preserve">Receives gamified points (redeemable for local transit or food vouchers in China Guangzhou) for the same actions.</w:t>
      </w:r>
    </w:p>
    <w:bookmarkEnd w:id="25"/>
    <w:bookmarkStart w:id="26" w:name="data-collection-tools"/>
    <w:p>
      <w:pPr>
        <w:pStyle w:val="Heading3"/>
      </w:pPr>
      <w:r>
        <w:t xml:space="preserve">3.2 Data Collection Tools</w:t>
      </w:r>
    </w:p>
    <w:p>
      <w:pPr>
        <w:pStyle w:val="FirstParagraph"/>
      </w:pPr>
      <w:r>
        <w:t xml:space="preserve">Data will be collected via a dedicated mobile application compatible with WeChat Mini Programs, ensuring seamless integration with the digital ecosystem familiar to residents of China Guangzhou. The Economist will track transaction data, response times, and survey responses regarding consumer sentiment.</w:t>
      </w:r>
    </w:p>
    <w:bookmarkEnd w:id="26"/>
    <w:bookmarkEnd w:id="27"/>
    <w:bookmarkStart w:id="31" w:name="procedure"/>
    <w:p>
      <w:pPr>
        <w:pStyle w:val="Heading2"/>
      </w:pPr>
      <w:r>
        <w:t xml:space="preserve">4. Procedure</w:t>
      </w:r>
    </w:p>
    <w:bookmarkStart w:id="28" w:name="recruitment"/>
    <w:p>
      <w:pPr>
        <w:pStyle w:val="Heading3"/>
      </w:pPr>
      <w:r>
        <w:t xml:space="preserve">4.1 Recruitment</w:t>
      </w:r>
    </w:p>
    <w:p>
      <w:pPr>
        <w:pStyle w:val="FirstParagraph"/>
      </w:pPr>
      <w:r>
        <w:t xml:space="preserve">Recruitment will occur through digital advertisements on local platforms and partnerships with universities in China Guangzhou. Interested individuals will complete a screening survey to verify eligibility.</w:t>
      </w:r>
    </w:p>
    <w:bookmarkEnd w:id="28"/>
    <w:bookmarkStart w:id="29" w:name="informed-consent"/>
    <w:p>
      <w:pPr>
        <w:pStyle w:val="Heading3"/>
      </w:pPr>
      <w:r>
        <w:t xml:space="preserve">4.2 Informed Consent</w:t>
      </w:r>
    </w:p>
    <w:p>
      <w:pPr>
        <w:pStyle w:val="FirstParagraph"/>
      </w:pPr>
      <w:r>
        <w:t xml:space="preserve">Before participation, all subjects must provide informed consent. The Economist will ensure that the consent form is available in both Simplified Chinese and English, clearly explaining the study's purpose, data usage, and the voluntary nature of participation.</w:t>
      </w:r>
    </w:p>
    <w:bookmarkEnd w:id="29"/>
    <w:bookmarkStart w:id="30" w:name="execution"/>
    <w:p>
      <w:pPr>
        <w:pStyle w:val="Heading3"/>
      </w:pPr>
      <w:r>
        <w:t xml:space="preserve">4.3 Execution</w:t>
      </w:r>
    </w:p>
    <w:p>
      <w:pPr>
        <w:pStyle w:val="FirstParagraph"/>
      </w:pPr>
      <w:r>
        <w:t xml:space="preserve">Over a period of four weeks, participants will engage with the platform. The Economist will monitor the system daily to ensure data integrity and address any technical issues. Weekly reminders will be sent to maintain engagement levels.</w:t>
      </w:r>
    </w:p>
    <w:bookmarkEnd w:id="30"/>
    <w:bookmarkEnd w:id="31"/>
    <w:bookmarkStart w:id="32" w:name="ethical-considerations"/>
    <w:p>
      <w:pPr>
        <w:pStyle w:val="Heading2"/>
      </w:pPr>
      <w:r>
        <w:t xml:space="preserve">5. Ethical Considerations</w:t>
      </w:r>
    </w:p>
    <w:p>
      <w:pPr>
        <w:pStyle w:val="FirstParagraph"/>
      </w:pPr>
      <w:r>
        <w:t xml:space="preserve">The study adheres to the ethical guidelines for economic research. Key considerations include:</w:t>
      </w:r>
    </w:p>
    <w:p>
      <w:pPr>
        <w:numPr>
          <w:ilvl w:val="0"/>
          <w:numId w:val="1002"/>
        </w:numPr>
        <w:pStyle w:val="Compact"/>
      </w:pPr>
      <w:r>
        <w:rPr>
          <w:bCs/>
          <w:b/>
        </w:rPr>
        <w:t xml:space="preserve">Privacy:</w:t>
      </w:r>
      <w:r>
        <w:t xml:space="preserve"> </w:t>
      </w:r>
      <w:r>
        <w:t xml:space="preserve">All personal data collected in China Guangzhou will be anonymized and stored on secure servers compliant with local data protection regulations.</w:t>
      </w:r>
    </w:p>
    <w:p>
      <w:pPr>
        <w:numPr>
          <w:ilvl w:val="0"/>
          <w:numId w:val="1002"/>
        </w:numPr>
        <w:pStyle w:val="Compact"/>
      </w:pPr>
      <w:r>
        <w:rPr>
          <w:bCs/>
          <w:b/>
        </w:rPr>
        <w:t xml:space="preserve">Deception:</w:t>
      </w:r>
      <w:r>
        <w:t xml:space="preserve"> </w:t>
      </w:r>
      <w:r>
        <w:t xml:space="preserve">No deceptive practices will be used. Participants will be fully aware that they are part of an economic study.</w:t>
      </w:r>
    </w:p>
    <w:p>
      <w:pPr>
        <w:numPr>
          <w:ilvl w:val="0"/>
          <w:numId w:val="1002"/>
        </w:numPr>
        <w:pStyle w:val="Compact"/>
      </w:pPr>
      <w:r>
        <w:rPr>
          <w:bCs/>
          <w:b/>
        </w:rPr>
        <w:t xml:space="preserve">Compensation:</w:t>
      </w:r>
      <w:r>
        <w:t xml:space="preserve"> </w:t>
      </w:r>
      <w:r>
        <w:t xml:space="preserve">Participants will receive a base compensation for their time, with additional incentives for the treatment groups.</w:t>
      </w:r>
    </w:p>
    <w:bookmarkEnd w:id="32"/>
    <w:bookmarkStart w:id="33" w:name="data-analysis"/>
    <w:p>
      <w:pPr>
        <w:pStyle w:val="Heading2"/>
      </w:pPr>
      <w:r>
        <w:t xml:space="preserve">6. Data Analysis</w:t>
      </w:r>
    </w:p>
    <w:p>
      <w:pPr>
        <w:pStyle w:val="FirstParagraph"/>
      </w:pPr>
      <w:r>
        <w:t xml:space="preserve">The Economist will utilize advanced econometric models to analyze the data. Key metrics include:</w:t>
      </w:r>
    </w:p>
    <w:p>
      <w:pPr>
        <w:numPr>
          <w:ilvl w:val="0"/>
          <w:numId w:val="1003"/>
        </w:numPr>
        <w:pStyle w:val="Compact"/>
      </w:pPr>
      <w:r>
        <w:t xml:space="preserve">Conversion rates across the three groups.</w:t>
      </w:r>
    </w:p>
    <w:p>
      <w:pPr>
        <w:numPr>
          <w:ilvl w:val="0"/>
          <w:numId w:val="1003"/>
        </w:numPr>
        <w:pStyle w:val="Compact"/>
      </w:pPr>
      <w:r>
        <w:t xml:space="preserve">Total expenditure on green products.</w:t>
      </w:r>
    </w:p>
    <w:p>
      <w:pPr>
        <w:numPr>
          <w:ilvl w:val="0"/>
          <w:numId w:val="1003"/>
        </w:numPr>
        <w:pStyle w:val="Compact"/>
      </w:pPr>
      <w:r>
        <w:t xml:space="preserve">Correlation between demographic variables and response to incentives.</w:t>
      </w:r>
    </w:p>
    <w:p>
      <w:pPr>
        <w:pStyle w:val="FirstParagraph"/>
      </w:pPr>
      <w:r>
        <w:t xml:space="preserve">Regression analysis will be performed to isolate the effect of the incentives from other confounding variables specific to the China Guangzhou market.</w:t>
      </w:r>
    </w:p>
    <w:bookmarkEnd w:id="33"/>
    <w:bookmarkStart w:id="34" w:name="timeline"/>
    <w:p>
      <w:pPr>
        <w:pStyle w:val="Heading2"/>
      </w:pPr>
      <w:r>
        <w:t xml:space="preserve">7. Timeline</w:t>
      </w:r>
    </w:p>
    <w:p>
      <w:pPr>
        <w:numPr>
          <w:ilvl w:val="0"/>
          <w:numId w:val="1004"/>
        </w:numPr>
        <w:pStyle w:val="Compact"/>
      </w:pPr>
      <w:r>
        <w:rPr>
          <w:bCs/>
          <w:b/>
        </w:rPr>
        <w:t xml:space="preserve">Weeks 1-2:</w:t>
      </w:r>
      <w:r>
        <w:t xml:space="preserve"> </w:t>
      </w:r>
      <w:r>
        <w:t xml:space="preserve">Recruitment and consent.</w:t>
      </w:r>
    </w:p>
    <w:p>
      <w:pPr>
        <w:numPr>
          <w:ilvl w:val="0"/>
          <w:numId w:val="1004"/>
        </w:numPr>
        <w:pStyle w:val="Compact"/>
      </w:pPr>
      <w:r>
        <w:rPr>
          <w:bCs/>
          <w:b/>
        </w:rPr>
        <w:t xml:space="preserve">Weeks 3-6:</w:t>
      </w:r>
      <w:r>
        <w:t xml:space="preserve"> </w:t>
      </w:r>
      <w:r>
        <w:t xml:space="preserve">Experiment execution.</w:t>
      </w:r>
    </w:p>
    <w:p>
      <w:pPr>
        <w:numPr>
          <w:ilvl w:val="0"/>
          <w:numId w:val="1004"/>
        </w:numPr>
        <w:pStyle w:val="Compact"/>
      </w:pPr>
      <w:r>
        <w:rPr>
          <w:bCs/>
          <w:b/>
        </w:rPr>
        <w:t xml:space="preserve">Weeks 7-8:</w:t>
      </w:r>
      <w:r>
        <w:t xml:space="preserve"> </w:t>
      </w:r>
      <w:r>
        <w:t xml:space="preserve">Data cleaning and analysis.</w:t>
      </w:r>
    </w:p>
    <w:p>
      <w:pPr>
        <w:numPr>
          <w:ilvl w:val="0"/>
          <w:numId w:val="1004"/>
        </w:numPr>
        <w:pStyle w:val="Compact"/>
      </w:pPr>
      <w:r>
        <w:rPr>
          <w:bCs/>
          <w:b/>
        </w:rPr>
        <w:t xml:space="preserve">Week 9:</w:t>
      </w:r>
      <w:r>
        <w:t xml:space="preserve"> </w:t>
      </w:r>
      <w:r>
        <w:t xml:space="preserve">Reporting and dissemination of findings.</w:t>
      </w:r>
    </w:p>
    <w:bookmarkEnd w:id="34"/>
    <w:bookmarkStart w:id="35" w:name="conclusion"/>
    <w:p>
      <w:pPr>
        <w:pStyle w:val="Heading2"/>
      </w:pPr>
      <w:r>
        <w:t xml:space="preserve">8. Conclusion</w:t>
      </w:r>
    </w:p>
    <w:p>
      <w:pPr>
        <w:pStyle w:val="FirstParagraph"/>
      </w:pPr>
      <w:r>
        <w:t xml:space="preserve">This Experiment Protocol provides a structured approach for the Economist to investigate behavioral economic phenomena in China Guangzhou. The findings will contribute to the broader understanding of how digital incentives can drive sustainable consumption in emerging economies.</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Behavioral Economics in China Guangzhou</dc:title>
  <dc:creator/>
  <dc:language>en</dc:language>
  <cp:keywords/>
  <dcterms:created xsi:type="dcterms:W3CDTF">2026-10-10T08:36:33Z</dcterms:created>
  <dcterms:modified xsi:type="dcterms:W3CDTF">2026-10-10T08:36:33Z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