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Bogotá</w:t>
      </w:r>
    </w:p>
    <w:bookmarkStart w:id="20" w:name="X14813b2a9453cf111b9a7e61bb96545d883c046"/>
    <w:p>
      <w:pPr>
        <w:pStyle w:val="Heading1"/>
      </w:pPr>
      <w:r>
        <w:t xml:space="preserve">Experiment Protocol: Behavioral Decision-Making in Urban Informal Markets</w:t>
      </w:r>
    </w:p>
    <w:p>
      <w:pPr>
        <w:pStyle w:val="FirstParagraph"/>
      </w:pPr>
      <w:r>
        <w:rPr>
          <w:bCs/>
          <w:b/>
        </w:rPr>
        <w:t xml:space="preserve">Principal Investigator:</w:t>
      </w:r>
      <w:r>
        <w:t xml:space="preserve"> </w:t>
      </w:r>
      <w:r>
        <w:t xml:space="preserve">Lead Economist, Department of Development Economics</w:t>
      </w:r>
    </w:p>
    <w:p>
      <w:pPr>
        <w:pStyle w:val="BodyText"/>
      </w:pPr>
      <w:r>
        <w:rPr>
          <w:bCs/>
          <w:b/>
        </w:rPr>
        <w:t xml:space="preserve">Location:</w:t>
      </w:r>
      <w:r>
        <w:t xml:space="preserve"> </w:t>
      </w:r>
      <w:r>
        <w:t xml:space="preserve">Bogotá, Colombia (Specifically: La Candelaria and Chapinero districts)</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document outlines the rigorous experimental protocol designed by the research economist to evaluate consumer behavior regarding financial literacy and risk aversion within the context of Bogotá's unique urban economic landscape. The primary objective is to determine how informal market structures influence decision-making processes among low-to-middle-income households in Colombia.</w:t>
      </w:r>
    </w:p>
    <w:p>
      <w:pPr>
        <w:pStyle w:val="BodyText"/>
      </w:pPr>
      <w:r>
        <w:t xml:space="preserve">As an economist operating in Bogotá, the researcher must account for the city's high levels of economic informality, which accounts for a significant portion of the GDP. This experiment aims to isolate variables related to trust, liquidity constraints, and social capital. The findings will contribute to the broader understanding of microeconomic behavior in developing economies and inform public policy recommendations for the Colombian government.</w:t>
      </w:r>
    </w:p>
    <w:bookmarkEnd w:id="21"/>
    <w:bookmarkStart w:id="22" w:name="ethical-considerations-and-compliance"/>
    <w:p>
      <w:pPr>
        <w:pStyle w:val="Heading2"/>
      </w:pPr>
      <w:r>
        <w:t xml:space="preserve">2. Ethical Considerations and Compliance</w:t>
      </w:r>
    </w:p>
    <w:p>
      <w:pPr>
        <w:pStyle w:val="FirstParagraph"/>
      </w:pPr>
      <w:r>
        <w:t xml:space="preserve">Adherence to ethical standards is paramount. This protocol complies with the Declaration of Helsinki and local regulations set forth by the Ministry of Health and Social Protection of Colombia.</w:t>
      </w:r>
    </w:p>
    <w:p>
      <w:pPr>
        <w:numPr>
          <w:ilvl w:val="0"/>
          <w:numId w:val="1001"/>
        </w:numPr>
        <w:pStyle w:val="Compact"/>
      </w:pPr>
      <w:r>
        <w:rPr>
          <w:bCs/>
          <w:b/>
        </w:rPr>
        <w:t xml:space="preserve">Informed Consent:</w:t>
      </w:r>
      <w:r>
        <w:t xml:space="preserve"> </w:t>
      </w:r>
      <w:r>
        <w:t xml:space="preserve">All participants must sign a consent form in Spanish, clearly explaining the nature of the experiment, their right to withdraw at any time, and the anonymity of their data.</w:t>
      </w:r>
    </w:p>
    <w:p>
      <w:pPr>
        <w:numPr>
          <w:ilvl w:val="0"/>
          <w:numId w:val="1001"/>
        </w:numPr>
        <w:pStyle w:val="Compact"/>
      </w:pPr>
      <w:r>
        <w:rPr>
          <w:bCs/>
          <w:b/>
        </w:rPr>
        <w:t xml:space="preserve">Compensation:</w:t>
      </w:r>
      <w:r>
        <w:t xml:space="preserve"> </w:t>
      </w:r>
      <w:r>
        <w:t xml:space="preserve">Participants will be compensated fairly for their time, adjusted for the local purchasing power parity in Bogotá. Payments will be made in Colombian Pesos (COP) via cash or local digital transfer methods (e.g., Nequi or Daviplata) to ensure accessibility.</w:t>
      </w:r>
    </w:p>
    <w:p>
      <w:pPr>
        <w:numPr>
          <w:ilvl w:val="0"/>
          <w:numId w:val="1001"/>
        </w:numPr>
        <w:pStyle w:val="Compact"/>
      </w:pPr>
      <w:r>
        <w:rPr>
          <w:bCs/>
          <w:b/>
        </w:rPr>
        <w:t xml:space="preserve">Data Privacy:</w:t>
      </w:r>
      <w:r>
        <w:t xml:space="preserve"> </w:t>
      </w:r>
      <w:r>
        <w:t xml:space="preserve">Personal data will be encrypted and stored on secure servers. No personally identifiable information will be linked to the experimental results in any published reports.</w:t>
      </w:r>
    </w:p>
    <w:bookmarkEnd w:id="22"/>
    <w:bookmarkStart w:id="23" w:name="study-population-and-sampling-strategy"/>
    <w:p>
      <w:pPr>
        <w:pStyle w:val="Heading2"/>
      </w:pPr>
      <w:r>
        <w:t xml:space="preserve">3. Study Population and Sampling Strategy</w:t>
      </w:r>
    </w:p>
    <w:p>
      <w:pPr>
        <w:pStyle w:val="FirstParagraph"/>
      </w:pPr>
      <w:r>
        <w:t xml:space="preserve">The target population consists of active participants in the informal economy of Bogotá, including street vendors, domestic workers, and gig-economy drivers. The sampling strategy will utilize stratified random sampling to ensure representation across different socioeconomic strata (Strata 1, 2, and 3).</w:t>
      </w:r>
    </w:p>
    <w:p>
      <w:pPr>
        <w:pStyle w:val="BodyText"/>
      </w:pPr>
      <w:r>
        <w:rPr>
          <w:bCs/>
          <w:b/>
        </w:rPr>
        <w:t xml:space="preserve">Inclusion Criteria:</w:t>
      </w:r>
    </w:p>
    <w:p>
      <w:pPr>
        <w:numPr>
          <w:ilvl w:val="0"/>
          <w:numId w:val="1002"/>
        </w:numPr>
        <w:pStyle w:val="Compact"/>
      </w:pPr>
      <w:r>
        <w:t xml:space="preserve">Resident of Bogotá for at least 12 months.</w:t>
      </w:r>
    </w:p>
    <w:p>
      <w:pPr>
        <w:numPr>
          <w:ilvl w:val="0"/>
          <w:numId w:val="1002"/>
        </w:numPr>
        <w:pStyle w:val="Compact"/>
      </w:pPr>
      <w:r>
        <w:t xml:space="preserve">Age between 18 and 65 years.</w:t>
      </w:r>
    </w:p>
    <w:p>
      <w:pPr>
        <w:numPr>
          <w:ilvl w:val="0"/>
          <w:numId w:val="1002"/>
        </w:numPr>
        <w:pStyle w:val="Compact"/>
      </w:pPr>
      <w:r>
        <w:t xml:space="preserve">Primary source of income derived from informal or semi-formal employment.</w:t>
      </w:r>
    </w:p>
    <w:p>
      <w:pPr>
        <w:pStyle w:val="FirstParagraph"/>
      </w:pPr>
      <w:r>
        <w:rPr>
          <w:bCs/>
          <w:b/>
        </w:rPr>
        <w:t xml:space="preserve">Exclusion Criteria:</w:t>
      </w:r>
    </w:p>
    <w:p>
      <w:pPr>
        <w:numPr>
          <w:ilvl w:val="0"/>
          <w:numId w:val="1003"/>
        </w:numPr>
        <w:pStyle w:val="Compact"/>
      </w:pPr>
      <w:r>
        <w:t xml:space="preserve">Current enrollment in another economic experiment.</w:t>
      </w:r>
    </w:p>
    <w:p>
      <w:pPr>
        <w:numPr>
          <w:ilvl w:val="0"/>
          <w:numId w:val="1003"/>
        </w:numPr>
        <w:pStyle w:val="Compact"/>
      </w:pPr>
      <w:r>
        <w:t xml:space="preserve">Professionals working in the financial sector (to avoid bias).</w:t>
      </w:r>
    </w:p>
    <w:p>
      <w:pPr>
        <w:pStyle w:val="FirstParagraph"/>
      </w:pPr>
      <w:r>
        <w:t xml:space="preserve">The sample size is calculated to be 400 participants, providing sufficient statistical power to detect significant differences in treatment effects.</w:t>
      </w:r>
    </w:p>
    <w:bookmarkEnd w:id="23"/>
    <w:bookmarkStart w:id="27" w:name="experimental-design"/>
    <w:p>
      <w:pPr>
        <w:pStyle w:val="Heading2"/>
      </w:pPr>
      <w:r>
        <w:t xml:space="preserve">4. Experimental Design</w:t>
      </w:r>
    </w:p>
    <w:p>
      <w:pPr>
        <w:pStyle w:val="FirstParagraph"/>
      </w:pPr>
      <w:r>
        <w:t xml:space="preserve">The economist will employ a randomized controlled trial (RCT) design. Participants will be randomly assigned to one of three groups: a Control Group, a Treatment Group A (Financial Literacy Intervention), and a Treatment Group B (Social Norms Intervention).</w:t>
      </w:r>
    </w:p>
    <w:bookmarkStart w:id="24" w:name="control-group"/>
    <w:p>
      <w:pPr>
        <w:pStyle w:val="Heading3"/>
      </w:pPr>
      <w:r>
        <w:t xml:space="preserve">4.1 Control Group</w:t>
      </w:r>
    </w:p>
    <w:p>
      <w:pPr>
        <w:pStyle w:val="FirstParagraph"/>
      </w:pPr>
      <w:r>
        <w:t xml:space="preserve">Participants in this group will complete a baseline survey regarding their financial habits and risk preferences without receiving any intervention. They will serve as the benchmark for comparison.</w:t>
      </w:r>
    </w:p>
    <w:bookmarkEnd w:id="24"/>
    <w:bookmarkStart w:id="25" w:name="treatment-group-a-financial-literacy"/>
    <w:p>
      <w:pPr>
        <w:pStyle w:val="Heading3"/>
      </w:pPr>
      <w:r>
        <w:t xml:space="preserve">4.2 Treatment Group A: Financial Literacy</w:t>
      </w:r>
    </w:p>
    <w:p>
      <w:pPr>
        <w:pStyle w:val="FirstParagraph"/>
      </w:pPr>
      <w:r>
        <w:t xml:space="preserve">Participants will receive a 30-minute interactive workshop focused on basic financial concepts relevant to the Colombian context, such as interest rates, inflation, and savings mechanisms. This intervention tests the hypothesis that information asymmetry drives suboptimal economic decisions.</w:t>
      </w:r>
    </w:p>
    <w:bookmarkEnd w:id="25"/>
    <w:bookmarkStart w:id="26" w:name="treatment-group-b-social-norms"/>
    <w:p>
      <w:pPr>
        <w:pStyle w:val="Heading3"/>
      </w:pPr>
      <w:r>
        <w:t xml:space="preserve">4.3 Treatment Group B: Social Norms</w:t>
      </w:r>
    </w:p>
    <w:p>
      <w:pPr>
        <w:pStyle w:val="FirstParagraph"/>
      </w:pPr>
      <w:r>
        <w:t xml:space="preserve">Participants will be presented with anonymized data showing the savings and investment behaviors of their peers in similar neighborhoods in Bogotá. This leverages behavioral economics principles to test if social proof influences individual financial planning.</w:t>
      </w:r>
    </w:p>
    <w:bookmarkEnd w:id="26"/>
    <w:bookmarkEnd w:id="27"/>
    <w:bookmarkStart w:id="28" w:name="procedure-and-implementation"/>
    <w:p>
      <w:pPr>
        <w:pStyle w:val="Heading2"/>
      </w:pPr>
      <w:r>
        <w:t xml:space="preserve">5. Procedure and Implementation</w:t>
      </w:r>
    </w:p>
    <w:p>
      <w:pPr>
        <w:pStyle w:val="FirstParagraph"/>
      </w:pPr>
      <w:r>
        <w:t xml:space="preserve">The experiment will be conducted over a period of six weeks in community centers and public spaces in Bogotá.</w:t>
      </w:r>
    </w:p>
    <w:p>
      <w:pPr>
        <w:numPr>
          <w:ilvl w:val="0"/>
          <w:numId w:val="1004"/>
        </w:numPr>
        <w:pStyle w:val="Compact"/>
      </w:pPr>
      <w:r>
        <w:rPr>
          <w:bCs/>
          <w:b/>
        </w:rPr>
        <w:t xml:space="preserve">Recruitment:</w:t>
      </w:r>
      <w:r>
        <w:t xml:space="preserve"> </w:t>
      </w:r>
      <w:r>
        <w:t xml:space="preserve">Field researchers will recruit participants through local community leaders and direct outreach in markets such as Paloquemao.</w:t>
      </w:r>
    </w:p>
    <w:p>
      <w:pPr>
        <w:numPr>
          <w:ilvl w:val="0"/>
          <w:numId w:val="1004"/>
        </w:numPr>
        <w:pStyle w:val="Compact"/>
      </w:pPr>
      <w:r>
        <w:rPr>
          <w:bCs/>
          <w:b/>
        </w:rPr>
        <w:t xml:space="preserve">Baseline Survey:</w:t>
      </w:r>
      <w:r>
        <w:t xml:space="preserve"> </w:t>
      </w:r>
      <w:r>
        <w:t xml:space="preserve">All participants will complete a structured questionnaire assessing their current financial status, risk tolerance, and trust in financial institutions.</w:t>
      </w:r>
    </w:p>
    <w:p>
      <w:pPr>
        <w:numPr>
          <w:ilvl w:val="0"/>
          <w:numId w:val="1004"/>
        </w:numPr>
        <w:pStyle w:val="Compact"/>
      </w:pPr>
      <w:r>
        <w:rPr>
          <w:bCs/>
          <w:b/>
        </w:rPr>
        <w:t xml:space="preserve">Randomization:</w:t>
      </w:r>
      <w:r>
        <w:t xml:space="preserve"> </w:t>
      </w:r>
      <w:r>
        <w:t xml:space="preserve">Using a computer-generated random number sequence, participants will be assigned to their respective groups immediately after the baseline survey.</w:t>
      </w:r>
    </w:p>
    <w:p>
      <w:pPr>
        <w:numPr>
          <w:ilvl w:val="0"/>
          <w:numId w:val="1004"/>
        </w:numPr>
        <w:pStyle w:val="Compact"/>
      </w:pPr>
      <w:r>
        <w:rPr>
          <w:bCs/>
          <w:b/>
        </w:rPr>
        <w:t xml:space="preserve">Intervention:</w:t>
      </w:r>
      <w:r>
        <w:t xml:space="preserve"> </w:t>
      </w:r>
      <w:r>
        <w:t xml:space="preserve">The assigned interventions (Workshop or Social Norms presentation) will be delivered by trained facilitators.</w:t>
      </w:r>
    </w:p>
    <w:p>
      <w:pPr>
        <w:numPr>
          <w:ilvl w:val="0"/>
          <w:numId w:val="1004"/>
        </w:numPr>
        <w:pStyle w:val="Compact"/>
      </w:pPr>
      <w:r>
        <w:rPr>
          <w:bCs/>
          <w:b/>
        </w:rPr>
        <w:t xml:space="preserve">Follow-up:</w:t>
      </w:r>
      <w:r>
        <w:t xml:space="preserve"> </w:t>
      </w:r>
      <w:r>
        <w:t xml:space="preserve">A follow-up survey will be conducted four weeks after the intervention to measure changes in behavior, savings rates, and investment decisions.</w:t>
      </w:r>
    </w:p>
    <w:bookmarkEnd w:id="28"/>
    <w:bookmarkStart w:id="29" w:name="data-analysis-plan"/>
    <w:p>
      <w:pPr>
        <w:pStyle w:val="Heading2"/>
      </w:pPr>
      <w:r>
        <w:t xml:space="preserve">6. Data Analysis Plan</w:t>
      </w:r>
    </w:p>
    <w:p>
      <w:pPr>
        <w:pStyle w:val="FirstParagraph"/>
      </w:pPr>
      <w:r>
        <w:t xml:space="preserve">The economist will utilize econometric models to analyze the data. The primary analysis will involve difference-in-differences (DiD) estimation to compare changes in outcomes between the treatment and control groups over time.</w:t>
      </w:r>
    </w:p>
    <w:p>
      <w:pPr>
        <w:pStyle w:val="BodyText"/>
      </w:pPr>
      <w:r>
        <w:t xml:space="preserve">Secondary analyses will explore heterogeneity in treatment effects based on demographic variables such as age, gender, and education level. Robustness checks will be performed to ensure the validity of the results, accounting for potential confounding factors specific to the urban environment of Bogotá.</w:t>
      </w:r>
    </w:p>
    <w:bookmarkEnd w:id="29"/>
    <w:bookmarkStart w:id="30" w:name="risk-management"/>
    <w:p>
      <w:pPr>
        <w:pStyle w:val="Heading2"/>
      </w:pPr>
      <w:r>
        <w:t xml:space="preserve">7. Risk Management</w:t>
      </w:r>
    </w:p>
    <w:p>
      <w:pPr>
        <w:pStyle w:val="FirstParagraph"/>
      </w:pPr>
      <w:r>
        <w:t xml:space="preserve">Given the security context of Bogotá, specific measures will be taken to ensure the safety of both participants and researchers.</w:t>
      </w:r>
    </w:p>
    <w:p>
      <w:pPr>
        <w:numPr>
          <w:ilvl w:val="0"/>
          <w:numId w:val="1005"/>
        </w:numPr>
        <w:pStyle w:val="Compact"/>
      </w:pPr>
      <w:r>
        <w:t xml:space="preserve">Fieldwork will only be conducted during daylight hours.</w:t>
      </w:r>
    </w:p>
    <w:p>
      <w:pPr>
        <w:numPr>
          <w:ilvl w:val="0"/>
          <w:numId w:val="1005"/>
        </w:numPr>
        <w:pStyle w:val="Compact"/>
      </w:pPr>
      <w:r>
        <w:t xml:space="preserve">Researchers will operate in pairs and maintain regular communication with the central office.</w:t>
      </w:r>
    </w:p>
    <w:p>
      <w:pPr>
        <w:numPr>
          <w:ilvl w:val="0"/>
          <w:numId w:val="1005"/>
        </w:numPr>
        <w:pStyle w:val="Compact"/>
      </w:pPr>
      <w:r>
        <w:t xml:space="preserve">Locations will be vetted for safety prior to data collection.</w:t>
      </w:r>
    </w:p>
    <w:bookmarkEnd w:id="30"/>
    <w:bookmarkStart w:id="31" w:name="conclusion"/>
    <w:p>
      <w:pPr>
        <w:pStyle w:val="Heading2"/>
      </w:pPr>
      <w:r>
        <w:t xml:space="preserve">8. Conclusion</w:t>
      </w:r>
    </w:p>
    <w:p>
      <w:pPr>
        <w:pStyle w:val="FirstParagraph"/>
      </w:pPr>
      <w:r>
        <w:t xml:space="preserve">This experiment protocol provides a comprehensive framework for investigating economic behavior in Bogotá. By combining rigorous experimental design with a deep understanding of the local context, the economist aims to generate actionable insights that can improve financial inclusion and economic resilience for vulnerable populations in Colombia.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Bogotá</dc:title>
  <dc:creator/>
  <dc:language>en</dc:language>
  <cp:keywords/>
  <dcterms:created xsi:type="dcterms:W3CDTF">2026-10-10T07:35:13Z</dcterms:created>
  <dcterms:modified xsi:type="dcterms:W3CDTF">2026-10-10T07:35:13Z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