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Medellín</w:t>
      </w:r>
    </w:p>
    <w:bookmarkStart w:id="20" w:name="Xddbdfe29e6faa95ee6c4121b080aa741862d055"/>
    <w:p>
      <w:pPr>
        <w:pStyle w:val="Heading1"/>
      </w:pPr>
      <w:r>
        <w:t xml:space="preserve">Experiment Protocol: Behavioral Responses to Micro-Credit Incentives</w:t>
      </w:r>
    </w:p>
    <w:p>
      <w:pPr>
        <w:pStyle w:val="FirstParagraph"/>
      </w:pPr>
      <w:r>
        <w:rPr>
          <w:bCs/>
          <w:b/>
        </w:rPr>
        <w:t xml:space="preserve">Principal Investigator:</w:t>
      </w:r>
      <w:r>
        <w:t xml:space="preserve"> </w:t>
      </w:r>
      <w:r>
        <w:t xml:space="preserve">Lead Economist, Development Economics Division</w:t>
      </w:r>
    </w:p>
    <w:p>
      <w:pPr>
        <w:pStyle w:val="BodyText"/>
      </w:pPr>
      <w:r>
        <w:rPr>
          <w:bCs/>
          <w:b/>
        </w:rPr>
        <w:t xml:space="preserve">Location:</w:t>
      </w:r>
      <w:r>
        <w:t xml:space="preserve"> </w:t>
      </w:r>
      <w:r>
        <w:t xml:space="preserve">Medellín, Antioquia, Colombia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document outlines the rigorous experimental protocol designed to evaluate the efficacy of behavioral nudges within micro-credit schemes. The study is situated in</w:t>
      </w:r>
      <w:r>
        <w:t xml:space="preserve"> </w:t>
      </w:r>
      <w:r>
        <w:rPr>
          <w:bCs/>
          <w:b/>
        </w:rPr>
        <w:t xml:space="preserve">Medellín, Colombia</w:t>
      </w:r>
      <w:r>
        <w:t xml:space="preserve">, a city renowned for its rapid urban transformation and innovative social policies. As an</w:t>
      </w:r>
      <w:r>
        <w:t xml:space="preserve"> </w:t>
      </w:r>
      <w:r>
        <w:rPr>
          <w:bCs/>
          <w:b/>
        </w:rPr>
        <w:t xml:space="preserve">Economist</w:t>
      </w:r>
      <w:r>
        <w:t xml:space="preserve"> </w:t>
      </w:r>
      <w:r>
        <w:t xml:space="preserve">specializing in development and behavioral finance, the objective is to understand how specific information framing affects repayment rates and financial inclusion among informal sector workers.</w:t>
      </w:r>
    </w:p>
    <w:p>
      <w:pPr>
        <w:pStyle w:val="BodyText"/>
      </w:pPr>
      <w:r>
        <w:t xml:space="preserve">Medellín presents a unique laboratory for this research. The city's history of transitioning from conflict to a hub of innovation provides a complex socio-economic backdrop. The informal economy remains significant, and understanding the decision-making processes of these workers is crucial for policy formulation. This</w:t>
      </w:r>
      <w:r>
        <w:t xml:space="preserve"> </w:t>
      </w:r>
      <w:r>
        <w:rPr>
          <w:bCs/>
          <w:b/>
        </w:rPr>
        <w:t xml:space="preserve">Experiment Protocol</w:t>
      </w:r>
      <w:r>
        <w:t xml:space="preserve"> </w:t>
      </w:r>
      <w:r>
        <w:t xml:space="preserve">aims to bridge the gap between theoretical economic models and the lived reality of Medellín's residents.</w:t>
      </w:r>
    </w:p>
    <w:bookmarkEnd w:id="21"/>
    <w:bookmarkStart w:id="22" w:name="research-objectives"/>
    <w:p>
      <w:pPr>
        <w:pStyle w:val="Heading2"/>
      </w:pPr>
      <w:r>
        <w:t xml:space="preserve">2. Research Objectives</w:t>
      </w:r>
    </w:p>
    <w:p>
      <w:pPr>
        <w:pStyle w:val="FirstParagraph"/>
      </w:pPr>
      <w:r>
        <w:t xml:space="preserve">The primary goal of this study is to determine if social norm messaging increases loan repayment rates compared to standard financial incentives. Specifically, the</w:t>
      </w:r>
      <w:r>
        <w:t xml:space="preserve"> </w:t>
      </w:r>
      <w:r>
        <w:rPr>
          <w:bCs/>
          <w:b/>
        </w:rPr>
        <w:t xml:space="preserve">Economist</w:t>
      </w:r>
      <w:r>
        <w:t xml:space="preserve"> </w:t>
      </w:r>
      <w:r>
        <w:t xml:space="preserve">team seeks to answer the following questions:</w:t>
      </w:r>
    </w:p>
    <w:p>
      <w:pPr>
        <w:numPr>
          <w:ilvl w:val="0"/>
          <w:numId w:val="1001"/>
        </w:numPr>
        <w:pStyle w:val="Compact"/>
      </w:pPr>
      <w:r>
        <w:t xml:space="preserve">Does highlighting community repayment norms in Medellín neighborhoods influence individual borrower behavior?</w:t>
      </w:r>
    </w:p>
    <w:p>
      <w:pPr>
        <w:numPr>
          <w:ilvl w:val="0"/>
          <w:numId w:val="1001"/>
        </w:numPr>
        <w:pStyle w:val="Compact"/>
      </w:pPr>
      <w:r>
        <w:t xml:space="preserve">How do risk perceptions vary among informal workers in different comunas (districts) of the city?</w:t>
      </w:r>
    </w:p>
    <w:p>
      <w:pPr>
        <w:numPr>
          <w:ilvl w:val="0"/>
          <w:numId w:val="1001"/>
        </w:numPr>
        <w:pStyle w:val="Compact"/>
      </w:pPr>
      <w:r>
        <w:t xml:space="preserve">Can low-cost behavioral interventions reduce default rates without increasing interest burdens?</w:t>
      </w:r>
    </w:p>
    <w:bookmarkEnd w:id="22"/>
    <w:bookmarkStart w:id="25"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Participants will be randomly assigned to one of three groups:</w:t>
      </w:r>
    </w:p>
    <w:p>
      <w:pPr>
        <w:numPr>
          <w:ilvl w:val="0"/>
          <w:numId w:val="1002"/>
        </w:numPr>
        <w:pStyle w:val="Compact"/>
      </w:pPr>
      <w:r>
        <w:rPr>
          <w:bCs/>
          <w:b/>
        </w:rPr>
        <w:t xml:space="preserve">Control Group:</w:t>
      </w:r>
      <w:r>
        <w:t xml:space="preserve"> </w:t>
      </w:r>
      <w:r>
        <w:t xml:space="preserve">Receives standard loan terms and information.</w:t>
      </w:r>
    </w:p>
    <w:p>
      <w:pPr>
        <w:numPr>
          <w:ilvl w:val="0"/>
          <w:numId w:val="1002"/>
        </w:numPr>
        <w:pStyle w:val="Compact"/>
      </w:pPr>
      <w:r>
        <w:rPr>
          <w:bCs/>
          <w:b/>
        </w:rPr>
        <w:t xml:space="preserve">Treatment Group A (Social Norms):</w:t>
      </w:r>
      <w:r>
        <w:t xml:space="preserve"> </w:t>
      </w:r>
      <w:r>
        <w:t xml:space="preserve">Receives standard terms plus information stating that "90% of your neighbors in this Medellín district repay on time."</w:t>
      </w:r>
    </w:p>
    <w:p>
      <w:pPr>
        <w:numPr>
          <w:ilvl w:val="0"/>
          <w:numId w:val="1002"/>
        </w:numPr>
        <w:pStyle w:val="Compact"/>
      </w:pPr>
      <w:r>
        <w:rPr>
          <w:bCs/>
          <w:b/>
        </w:rPr>
        <w:t xml:space="preserve">Treatment Group B (Commitment Device):</w:t>
      </w:r>
      <w:r>
        <w:t xml:space="preserve"> </w:t>
      </w:r>
      <w:r>
        <w:t xml:space="preserve">Receives standard terms and is asked to sign a public commitment letter to repay.</w:t>
      </w:r>
    </w:p>
    <w:bookmarkEnd w:id="23"/>
    <w:bookmarkStart w:id="24" w:name="sampling-and-recruitment"/>
    <w:p>
      <w:pPr>
        <w:pStyle w:val="Heading3"/>
      </w:pPr>
      <w:r>
        <w:t xml:space="preserve">3.2 Sampling and Recruitment</w:t>
      </w:r>
    </w:p>
    <w:p>
      <w:pPr>
        <w:pStyle w:val="FirstParagraph"/>
      </w:pPr>
      <w:r>
        <w:t xml:space="preserve">The sample will consist of 600 individuals aged 18-60, residing in Medellín, who are currently engaged in informal economic activities (e.g., street vending, domestic work, gig economy). Recruitment will occur in high-traffic areas such as the Plaza Botero and local markets in the Comuna 13 area, ensuring a diverse representation of the city's economic landscape.</w:t>
      </w:r>
    </w:p>
    <w:p>
      <w:pPr>
        <w:pStyle w:val="BodyText"/>
      </w:pPr>
      <w:r>
        <w:t xml:space="preserve">Inclusion criteria require participants to have no outstanding debts with the partnering financial institution and to possess a valid Colombian ID (Cédula de Ciudadanía). This ensures data integrity and legal compliance within</w:t>
      </w:r>
      <w:r>
        <w:t xml:space="preserve"> </w:t>
      </w:r>
      <w:r>
        <w:rPr>
          <w:bCs/>
          <w:b/>
        </w:rPr>
        <w:t xml:space="preserve">Colombia</w:t>
      </w:r>
      <w:r>
        <w:t xml:space="preserve">.</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Before the intervention, the</w:t>
      </w:r>
      <w:r>
        <w:t xml:space="preserve"> </w:t>
      </w:r>
      <w:r>
        <w:rPr>
          <w:bCs/>
          <w:b/>
        </w:rPr>
        <w:t xml:space="preserve">Economist</w:t>
      </w:r>
      <w:r>
        <w:t xml:space="preserve"> </w:t>
      </w:r>
      <w:r>
        <w:t xml:space="preserve">team will conduct a baseline survey to collect demographic data, income levels, financial literacy scores, and risk tolerance. This phase is critical for establishing a control baseline against which the experimental results in Medellín can be measured.</w:t>
      </w:r>
    </w:p>
    <w:bookmarkEnd w:id="26"/>
    <w:bookmarkStart w:id="27" w:name="intervention-phase"/>
    <w:p>
      <w:pPr>
        <w:pStyle w:val="Heading3"/>
      </w:pPr>
      <w:r>
        <w:t xml:space="preserve">4.2 Intervention Phase</w:t>
      </w:r>
    </w:p>
    <w:p>
      <w:pPr>
        <w:pStyle w:val="FirstParagraph"/>
      </w:pPr>
      <w:r>
        <w:t xml:space="preserve">Participants will be invited to a secure location to receive their assigned treatment. The interaction will be standardized using a script to minimize experimenter bias. The loan amount will be fixed at 500,000 Colombian Pesos (COP) with a repayment period of 30 days. The variation lies solely in the informational framing provided during the signing process.</w:t>
      </w:r>
    </w:p>
    <w:bookmarkEnd w:id="27"/>
    <w:bookmarkStart w:id="28" w:name="post-experiment-phase"/>
    <w:p>
      <w:pPr>
        <w:pStyle w:val="Heading3"/>
      </w:pPr>
      <w:r>
        <w:t xml:space="preserve">4.3 Post-Experiment Phase</w:t>
      </w:r>
    </w:p>
    <w:p>
      <w:pPr>
        <w:pStyle w:val="FirstParagraph"/>
      </w:pPr>
      <w:r>
        <w:t xml:space="preserve">Follow-up surveys will be conducted at 15 days and 30 days post-disbursement. These surveys will assess repayment status, reasons for default (if applicable), and changes in financial behavior. The</w:t>
      </w:r>
      <w:r>
        <w:t xml:space="preserve"> </w:t>
      </w:r>
      <w:r>
        <w:rPr>
          <w:bCs/>
          <w:b/>
        </w:rPr>
        <w:t xml:space="preserve">Experiment Protocol</w:t>
      </w:r>
      <w:r>
        <w:t xml:space="preserve"> </w:t>
      </w:r>
      <w:r>
        <w:t xml:space="preserve">mandates that all data collection adheres to strict confidentiality standards.</w:t>
      </w:r>
    </w:p>
    <w:bookmarkEnd w:id="28"/>
    <w:bookmarkEnd w:id="29"/>
    <w:bookmarkStart w:id="30" w:name="ethical-considerations"/>
    <w:p>
      <w:pPr>
        <w:pStyle w:val="Heading2"/>
      </w:pPr>
      <w:r>
        <w:t xml:space="preserve">5. Ethical Considerations</w:t>
      </w:r>
    </w:p>
    <w:p>
      <w:pPr>
        <w:pStyle w:val="FirstParagraph"/>
      </w:pPr>
      <w:r>
        <w:t xml:space="preserve">Ethical integrity is paramount. This study has been reviewed and approved by the Institutional Review Board (IRB) of the hosting university in Medellín. All participants will provide informed consent, clearly understanding that their participation is voluntary and that they can withdraw at any time without penalty.</w:t>
      </w:r>
    </w:p>
    <w:p>
      <w:pPr>
        <w:pStyle w:val="BodyText"/>
      </w:pPr>
      <w:r>
        <w:t xml:space="preserve">Special attention is paid to the vulnerability of the informal sector in</w:t>
      </w:r>
      <w:r>
        <w:t xml:space="preserve"> </w:t>
      </w:r>
      <w:r>
        <w:rPr>
          <w:bCs/>
          <w:b/>
        </w:rPr>
        <w:t xml:space="preserve">Colombia</w:t>
      </w:r>
      <w:r>
        <w:t xml:space="preserve">. The protocol ensures that the loan terms are fair and that the experimental nature of the study does not exploit participants. Data will be anonymized to protect the privacy of individuals in their local communities.</w:t>
      </w:r>
    </w:p>
    <w:bookmarkEnd w:id="30"/>
    <w:bookmarkStart w:id="31" w:name="data-analysis"/>
    <w:p>
      <w:pPr>
        <w:pStyle w:val="Heading2"/>
      </w:pPr>
      <w:r>
        <w:t xml:space="preserve">6. Data Analysis</w:t>
      </w:r>
    </w:p>
    <w:p>
      <w:pPr>
        <w:pStyle w:val="FirstParagraph"/>
      </w:pPr>
      <w:r>
        <w:t xml:space="preserve">The</w:t>
      </w:r>
      <w:r>
        <w:t xml:space="preserve"> </w:t>
      </w:r>
      <w:r>
        <w:rPr>
          <w:bCs/>
          <w:b/>
        </w:rPr>
        <w:t xml:space="preserve">Economist</w:t>
      </w:r>
      <w:r>
        <w:t xml:space="preserve"> </w:t>
      </w:r>
      <w:r>
        <w:t xml:space="preserve">will employ econometric techniques to analyze the data. Primary analysis will use Ordinary Least Squares (OLS) regression to compare repayment rates across the three groups, controlling for baseline characteristics. Secondary analysis will explore heterogeneity of treatment effects based on gender, age, and specific neighborhood in Medellín.</w:t>
      </w:r>
    </w:p>
    <w:p>
      <w:pPr>
        <w:pStyle w:val="BodyText"/>
      </w:pPr>
      <w:r>
        <w:t xml:space="preserve">The goal is to produce robust, causal evidence that can inform financial policy. By isolating the effect of behavioral nudges, this</w:t>
      </w:r>
      <w:r>
        <w:t xml:space="preserve"> </w:t>
      </w:r>
      <w:r>
        <w:rPr>
          <w:bCs/>
          <w:b/>
        </w:rPr>
        <w:t xml:space="preserve">Experiment Protocol</w:t>
      </w:r>
      <w:r>
        <w:t xml:space="preserve"> </w:t>
      </w:r>
      <w:r>
        <w:t xml:space="preserve">aims to contribute to the broader literature on development economics in emerging markets.</w:t>
      </w:r>
    </w:p>
    <w:bookmarkEnd w:id="31"/>
    <w:bookmarkStart w:id="32" w:name="timeline-and-logistics"/>
    <w:p>
      <w:pPr>
        <w:pStyle w:val="Heading2"/>
      </w:pPr>
      <w:r>
        <w:t xml:space="preserve">7. Timeline and Logistics</w:t>
      </w:r>
    </w:p>
    <w:p>
      <w:pPr>
        <w:numPr>
          <w:ilvl w:val="0"/>
          <w:numId w:val="1003"/>
        </w:numPr>
        <w:pStyle w:val="Compact"/>
      </w:pPr>
      <w:r>
        <w:rPr>
          <w:bCs/>
          <w:b/>
        </w:rPr>
        <w:t xml:space="preserve">Weeks 1-2:</w:t>
      </w:r>
      <w:r>
        <w:t xml:space="preserve"> </w:t>
      </w:r>
      <w:r>
        <w:t xml:space="preserve">Finalize partnerships with local micro-finance institutions in Medellín.</w:t>
      </w:r>
    </w:p>
    <w:p>
      <w:pPr>
        <w:numPr>
          <w:ilvl w:val="0"/>
          <w:numId w:val="1003"/>
        </w:numPr>
        <w:pStyle w:val="Compact"/>
      </w:pPr>
      <w:r>
        <w:rPr>
          <w:bCs/>
          <w:b/>
        </w:rPr>
        <w:t xml:space="preserve">Weeks 3-4:</w:t>
      </w:r>
      <w:r>
        <w:t xml:space="preserve"> </w:t>
      </w:r>
      <w:r>
        <w:t xml:space="preserve">Recruit and train field enumerators.</w:t>
      </w:r>
    </w:p>
    <w:p>
      <w:pPr>
        <w:numPr>
          <w:ilvl w:val="0"/>
          <w:numId w:val="1003"/>
        </w:numPr>
        <w:pStyle w:val="Compact"/>
      </w:pPr>
      <w:r>
        <w:rPr>
          <w:bCs/>
          <w:b/>
        </w:rPr>
        <w:t xml:space="preserve">Weeks 5-10:</w:t>
      </w:r>
      <w:r>
        <w:t xml:space="preserve"> </w:t>
      </w:r>
      <w:r>
        <w:t xml:space="preserve">Conduct baseline surveys and randomization.</w:t>
      </w:r>
    </w:p>
    <w:p>
      <w:pPr>
        <w:numPr>
          <w:ilvl w:val="0"/>
          <w:numId w:val="1003"/>
        </w:numPr>
        <w:pStyle w:val="Compact"/>
      </w:pPr>
      <w:r>
        <w:rPr>
          <w:bCs/>
          <w:b/>
        </w:rPr>
        <w:t xml:space="preserve">Weeks 11-12:</w:t>
      </w:r>
      <w:r>
        <w:t xml:space="preserve"> </w:t>
      </w:r>
      <w:r>
        <w:t xml:space="preserve">Disburse loans and implement treatments.</w:t>
      </w:r>
    </w:p>
    <w:p>
      <w:pPr>
        <w:numPr>
          <w:ilvl w:val="0"/>
          <w:numId w:val="1003"/>
        </w:numPr>
        <w:pStyle w:val="Compact"/>
      </w:pPr>
      <w:r>
        <w:rPr>
          <w:bCs/>
          <w:b/>
        </w:rPr>
        <w:t xml:space="preserve">Weeks 13-16:</w:t>
      </w:r>
      <w:r>
        <w:t xml:space="preserve"> </w:t>
      </w:r>
      <w:r>
        <w:t xml:space="preserve">Follow-up surveys and data collection.</w:t>
      </w:r>
    </w:p>
    <w:p>
      <w:pPr>
        <w:numPr>
          <w:ilvl w:val="0"/>
          <w:numId w:val="1003"/>
        </w:numPr>
        <w:pStyle w:val="Compact"/>
      </w:pPr>
      <w:r>
        <w:rPr>
          <w:bCs/>
          <w:b/>
        </w:rPr>
        <w:t xml:space="preserve">Weeks 17-20:</w:t>
      </w:r>
      <w:r>
        <w:t xml:space="preserve"> </w:t>
      </w:r>
      <w:r>
        <w:t xml:space="preserve">Data cleaning, analysis, and report writing.</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significant step forward in understanding the behavioral drivers of financial decision-making in</w:t>
      </w:r>
      <w:r>
        <w:t xml:space="preserve"> </w:t>
      </w:r>
      <w:r>
        <w:rPr>
          <w:bCs/>
          <w:b/>
        </w:rPr>
        <w:t xml:space="preserve">Medellín, Colombia</w:t>
      </w:r>
      <w:r>
        <w:t xml:space="preserve">. By applying rigorous economic methods to a real-world context, the</w:t>
      </w:r>
      <w:r>
        <w:t xml:space="preserve"> </w:t>
      </w:r>
      <w:r>
        <w:rPr>
          <w:bCs/>
          <w:b/>
        </w:rPr>
        <w:t xml:space="preserve">Economist</w:t>
      </w:r>
      <w:r>
        <w:t xml:space="preserve"> </w:t>
      </w:r>
      <w:r>
        <w:t xml:space="preserve">team hopes to generate insights that can improve financial inclusion and stability for thousands of informal workers. The findings will not only contribute to academic knowledge but also offer practical tools for policymakers and financial institutions operating in similar environments across Latin America.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Medellín</dc:title>
  <dc:creator/>
  <dc:language>en</dc:language>
  <cp:keywords/>
  <dcterms:created xsi:type="dcterms:W3CDTF">2026-10-10T05:51:06Z</dcterms:created>
  <dcterms:modified xsi:type="dcterms:W3CDTF">2026-10-10T05:51:06Z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