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Alexandria,</w:t>
      </w:r>
      <w:r>
        <w:t xml:space="preserve"> </w:t>
      </w:r>
      <w:r>
        <w:t xml:space="preserve">Egypt</w:t>
      </w:r>
    </w:p>
    <w:bookmarkStart w:id="20" w:name="X885dff058dd74fa81cb8e9a3459b833a6813683"/>
    <w:p>
      <w:pPr>
        <w:pStyle w:val="Heading1"/>
      </w:pPr>
      <w:r>
        <w:t xml:space="preserve">Experiment Protocol: Behavioral Decision-Making in Urban Markets</w:t>
      </w:r>
    </w:p>
    <w:p>
      <w:pPr>
        <w:pStyle w:val="FirstParagraph"/>
      </w:pPr>
      <w:r>
        <w:t xml:space="preserve">Study Location: Egypt, Alexandria</w:t>
      </w:r>
    </w:p>
    <w:p>
      <w:pPr>
        <w:pStyle w:val="BodyText"/>
      </w:pPr>
      <w:r>
        <w:t xml:space="preserve">Discipline: Applied Economics</w:t>
      </w:r>
    </w:p>
    <w:bookmarkEnd w:id="20"/>
    <w:p>
      <w:pPr>
        <w:pStyle w:val="BodyText"/>
      </w:pPr>
      <w:r>
        <w:rPr>
          <w:bCs/>
          <w:b/>
        </w:rPr>
        <w:t xml:space="preserve">Protocol ID:</w:t>
      </w:r>
      <w:r>
        <w:t xml:space="preserve"> </w:t>
      </w:r>
      <w:r>
        <w:t xml:space="preserve">ALEX-ECON-2023-04</w:t>
      </w:r>
    </w:p>
    <w:p>
      <w:pPr>
        <w:pStyle w:val="BodyText"/>
      </w:pPr>
      <w:r>
        <w:rPr>
          <w:bCs/>
          <w:b/>
        </w:rPr>
        <w:t xml:space="preserve">Principal Investigator:</w:t>
      </w:r>
      <w:r>
        <w:t xml:space="preserve"> </w:t>
      </w:r>
      <w:r>
        <w:t xml:space="preserve">[Name of Lead Economist]</w:t>
      </w:r>
    </w:p>
    <w:p>
      <w:pPr>
        <w:pStyle w:val="BodyText"/>
      </w:pPr>
      <w:r>
        <w:rPr>
          <w:bCs/>
          <w:b/>
        </w:rPr>
        <w:t xml:space="preserve">Institution:</w:t>
      </w:r>
      <w:r>
        <w:t xml:space="preserve"> </w:t>
      </w:r>
      <w:r>
        <w:t xml:space="preserve">[Name of University or Research Institute]</w:t>
      </w:r>
    </w:p>
    <w:p>
      <w:pPr>
        <w:pStyle w:val="BodyText"/>
      </w:pPr>
      <w:r>
        <w:rPr>
          <w:bCs/>
          <w:b/>
        </w:rPr>
        <w:t xml:space="preserve">Date of Approval:</w:t>
      </w:r>
      <w:r>
        <w:t xml:space="preserve"> </w:t>
      </w:r>
      <w:r>
        <w:t xml:space="preserve">[Insert Date]</w:t>
      </w:r>
    </w:p>
    <w:p>
      <w:pPr>
        <w:pStyle w:val="BodyText"/>
      </w:pPr>
      <w:r>
        <w:rPr>
          <w:bCs/>
          <w:b/>
        </w:rPr>
        <w:t xml:space="preserve">Version:</w:t>
      </w:r>
      <w:r>
        <w:t xml:space="preserve"> </w:t>
      </w:r>
      <w:r>
        <w:t xml:space="preserve">1.0</w:t>
      </w:r>
    </w:p>
    <w:bookmarkStart w:id="21" w:name="introduction-and-background"/>
    <w:p>
      <w:pPr>
        <w:pStyle w:val="Heading2"/>
      </w:pPr>
      <w:r>
        <w:t xml:space="preserve">1. Introduction and Background</w:t>
      </w:r>
    </w:p>
    <w:p>
      <w:pPr>
        <w:pStyle w:val="FirstParagraph"/>
      </w:pPr>
      <w:r>
        <w:t xml:space="preserve">This Experiment Protocol outlines the methodology for a field study conducted by an Economist to analyze consumer behavior and pricing elasticity within the urban environment of Egypt, specifically Alexandria. Alexandria, as Egypt's second-largest city and a major Mediterranean port, presents a unique economic landscape characterized by a blend of traditional market dynamics and modern retail structures.</w:t>
      </w:r>
    </w:p>
    <w:p>
      <w:pPr>
        <w:pStyle w:val="BodyText"/>
      </w:pPr>
      <w:r>
        <w:t xml:space="preserve">The primary objective of this study is to understand how local consumers in Alexandria respond to price variations and promotional strategies in essential goods markets. This research is critical for an Economist aiming to model local demand curves accurately, which are often distorted by informal market practices and cultural negotiation norms prevalent in Egyptian commerce.</w:t>
      </w:r>
    </w:p>
    <w:bookmarkEnd w:id="21"/>
    <w:bookmarkStart w:id="22" w:name="research-objectives"/>
    <w:p>
      <w:pPr>
        <w:pStyle w:val="Heading2"/>
      </w:pPr>
      <w:r>
        <w:t xml:space="preserve">2. Research Objectives</w:t>
      </w:r>
    </w:p>
    <w:p>
      <w:pPr>
        <w:pStyle w:val="FirstParagraph"/>
      </w:pPr>
      <w:r>
        <w:t xml:space="preserve">The study aims to achieve the following specific objectives:</w:t>
      </w:r>
    </w:p>
    <w:p>
      <w:pPr>
        <w:numPr>
          <w:ilvl w:val="0"/>
          <w:numId w:val="1001"/>
        </w:numPr>
        <w:pStyle w:val="Compact"/>
      </w:pPr>
      <w:r>
        <w:t xml:space="preserve">To measure the price elasticity of demand for staple goods (e.g., rice, oil, sugar) among residents of Alexandria.</w:t>
      </w:r>
    </w:p>
    <w:p>
      <w:pPr>
        <w:numPr>
          <w:ilvl w:val="0"/>
          <w:numId w:val="1001"/>
        </w:numPr>
        <w:pStyle w:val="Compact"/>
      </w:pPr>
      <w:r>
        <w:t xml:space="preserve">To evaluate the impact of "haggling" culture on final transaction prices in semi-formal markets versus fixed-price retail environments.</w:t>
      </w:r>
    </w:p>
    <w:p>
      <w:pPr>
        <w:numPr>
          <w:ilvl w:val="0"/>
          <w:numId w:val="1001"/>
        </w:numPr>
        <w:pStyle w:val="Compact"/>
      </w:pPr>
      <w:r>
        <w:t xml:space="preserve">To assess the influence of inflation expectations on purchasing volume in the current Egyptian economic climate.</w:t>
      </w:r>
    </w:p>
    <w:p>
      <w:pPr>
        <w:numPr>
          <w:ilvl w:val="0"/>
          <w:numId w:val="1001"/>
        </w:numPr>
        <w:pStyle w:val="Compact"/>
      </w:pPr>
      <w:r>
        <w:t xml:space="preserve">To provide data-driven recommendations for local policymakers and business owners in Alexandria regarding pricing strategies.</w:t>
      </w:r>
    </w:p>
    <w:bookmarkEnd w:id="22"/>
    <w:bookmarkStart w:id="25" w:name="study-design-and-methodology"/>
    <w:p>
      <w:pPr>
        <w:pStyle w:val="Heading2"/>
      </w:pPr>
      <w:r>
        <w:t xml:space="preserve">3. Study Design and Methodology</w:t>
      </w:r>
    </w:p>
    <w:p>
      <w:pPr>
        <w:pStyle w:val="FirstParagraph"/>
      </w:pPr>
      <w:r>
        <w:t xml:space="preserve">The Economist will employ a mixed-methods approach, combining field experiments with structured surveys. The study will be conducted over a period of eight weeks.</w:t>
      </w:r>
    </w:p>
    <w:bookmarkStart w:id="23" w:name="study-population-and-sampling"/>
    <w:p>
      <w:pPr>
        <w:pStyle w:val="Heading3"/>
      </w:pPr>
      <w:r>
        <w:t xml:space="preserve">3.1 Study Population and Sampling</w:t>
      </w:r>
    </w:p>
    <w:p>
      <w:pPr>
        <w:pStyle w:val="FirstParagraph"/>
      </w:pPr>
      <w:r>
        <w:t xml:space="preserve">The target population consists of adult residents (aged 18 and above) residing in Alexandria. To ensure representativeness, the sampling strategy will utilize stratified random sampling across three distinct socioeconomic zones in Alexandria:</w:t>
      </w:r>
    </w:p>
    <w:p>
      <w:pPr>
        <w:numPr>
          <w:ilvl w:val="0"/>
          <w:numId w:val="1002"/>
        </w:numPr>
        <w:pStyle w:val="Compact"/>
      </w:pPr>
      <w:r>
        <w:rPr>
          <w:bCs/>
          <w:b/>
        </w:rPr>
        <w:t xml:space="preserve">High-Income Areas:</w:t>
      </w:r>
      <w:r>
        <w:t xml:space="preserve"> </w:t>
      </w:r>
      <w:r>
        <w:t xml:space="preserve">e.g., Smouha, Stanley.</w:t>
      </w:r>
    </w:p>
    <w:p>
      <w:pPr>
        <w:numPr>
          <w:ilvl w:val="0"/>
          <w:numId w:val="1002"/>
        </w:numPr>
        <w:pStyle w:val="Compact"/>
      </w:pPr>
      <w:r>
        <w:rPr>
          <w:bCs/>
          <w:b/>
        </w:rPr>
        <w:t xml:space="preserve">Middle-Income Areas:</w:t>
      </w:r>
      <w:r>
        <w:t xml:space="preserve"> </w:t>
      </w:r>
      <w:r>
        <w:t xml:space="preserve">e.g., Sidi Gaber, Raml Station.</w:t>
      </w:r>
    </w:p>
    <w:p>
      <w:pPr>
        <w:numPr>
          <w:ilvl w:val="0"/>
          <w:numId w:val="1002"/>
        </w:numPr>
        <w:pStyle w:val="Compact"/>
      </w:pPr>
      <w:r>
        <w:rPr>
          <w:bCs/>
          <w:b/>
        </w:rPr>
        <w:t xml:space="preserve">Low-Income/Dense Areas:</w:t>
      </w:r>
      <w:r>
        <w:t xml:space="preserve"> </w:t>
      </w:r>
      <w:r>
        <w:t xml:space="preserve">e.g., El-Montaza, El-Chatby.</w:t>
      </w:r>
    </w:p>
    <w:p>
      <w:pPr>
        <w:pStyle w:val="FirstParagraph"/>
      </w:pPr>
      <w:r>
        <w:t xml:space="preserve">A total sample size of 600 participants is required to achieve a 95% confidence level with a 4% margin of error.</w:t>
      </w:r>
    </w:p>
    <w:bookmarkEnd w:id="23"/>
    <w:bookmarkStart w:id="24" w:name="experimental-procedure"/>
    <w:p>
      <w:pPr>
        <w:pStyle w:val="Heading3"/>
      </w:pPr>
      <w:r>
        <w:t xml:space="preserve">3.2 Experimental Procedure</w:t>
      </w:r>
    </w:p>
    <w:p>
      <w:pPr>
        <w:pStyle w:val="FirstParagraph"/>
      </w:pPr>
      <w:r>
        <w:t xml:space="preserve">The core of the experiment involves a "Choice-Based Conjoint Analysis" conducted in real-world settings. Participants will be presented with hypothetical purchasing scenarios involving common goods. The Economist will manipulate variables such as price, brand familiarity, and packaging size to observe decision-making patterns.</w:t>
      </w:r>
    </w:p>
    <w:p>
      <w:pPr>
        <w:pStyle w:val="BodyText"/>
      </w:pPr>
      <w:r>
        <w:t xml:space="preserve">Additionally, a field observation component will be implemented in local souqs (markets). Researchers will record the initial asking price versus the final agreed price for a standardized basket of goods to quantify the discount rate achieved through negotiation.</w:t>
      </w:r>
    </w:p>
    <w:bookmarkEnd w:id="24"/>
    <w:bookmarkEnd w:id="25"/>
    <w:bookmarkStart w:id="26" w:name="ethical-considerations"/>
    <w:p>
      <w:pPr>
        <w:pStyle w:val="Heading2"/>
      </w:pPr>
      <w:r>
        <w:t xml:space="preserve">4. Ethical Considerations</w:t>
      </w:r>
    </w:p>
    <w:p>
      <w:pPr>
        <w:pStyle w:val="FirstParagraph"/>
      </w:pPr>
      <w:r>
        <w:t xml:space="preserve">Adherence to ethical standards is paramount. The protocol ensures the following:</w:t>
      </w:r>
    </w:p>
    <w:p>
      <w:pPr>
        <w:numPr>
          <w:ilvl w:val="0"/>
          <w:numId w:val="1003"/>
        </w:numPr>
        <w:pStyle w:val="Compact"/>
      </w:pPr>
      <w:r>
        <w:rPr>
          <w:bCs/>
          <w:b/>
        </w:rPr>
        <w:t xml:space="preserve">Informed Consent:</w:t>
      </w:r>
      <w:r>
        <w:t xml:space="preserve"> </w:t>
      </w:r>
      <w:r>
        <w:t xml:space="preserve">All participants must sign a consent form in Arabic, clearly explaining the purpose of the study, their rights, and the voluntary nature of participation.</w:t>
      </w:r>
    </w:p>
    <w:p>
      <w:pPr>
        <w:numPr>
          <w:ilvl w:val="0"/>
          <w:numId w:val="1003"/>
        </w:numPr>
        <w:pStyle w:val="Compact"/>
      </w:pPr>
      <w:r>
        <w:rPr>
          <w:bCs/>
          <w:b/>
        </w:rPr>
        <w:t xml:space="preserve">Confidentiality:</w:t>
      </w:r>
      <w:r>
        <w:t xml:space="preserve"> </w:t>
      </w:r>
      <w:r>
        <w:t xml:space="preserve">All data collected will be anonymized. No personally identifiable information will be linked to economic data in the final report.</w:t>
      </w:r>
    </w:p>
    <w:p>
      <w:pPr>
        <w:numPr>
          <w:ilvl w:val="0"/>
          <w:numId w:val="1003"/>
        </w:numPr>
        <w:pStyle w:val="Compact"/>
      </w:pPr>
      <w:r>
        <w:rPr>
          <w:bCs/>
          <w:b/>
        </w:rPr>
        <w:t xml:space="preserve">Compensation:</w:t>
      </w:r>
      <w:r>
        <w:t xml:space="preserve"> </w:t>
      </w:r>
      <w:r>
        <w:t xml:space="preserve">Participants will receive a small monetary compensation or a gift card equivalent to 50 EGP to acknowledge their time, ensuring no undue coercion is applied.</w:t>
      </w:r>
    </w:p>
    <w:p>
      <w:pPr>
        <w:numPr>
          <w:ilvl w:val="0"/>
          <w:numId w:val="1003"/>
        </w:numPr>
        <w:pStyle w:val="Compact"/>
      </w:pPr>
      <w:r>
        <w:rPr>
          <w:bCs/>
          <w:b/>
        </w:rPr>
        <w:t xml:space="preserve">Approval:</w:t>
      </w:r>
      <w:r>
        <w:t xml:space="preserve"> </w:t>
      </w:r>
      <w:r>
        <w:t xml:space="preserve">This protocol has been reviewed and approved by the Institutional Review Board (IRB) of the hosting institution.</w:t>
      </w:r>
    </w:p>
    <w:bookmarkEnd w:id="26"/>
    <w:bookmarkStart w:id="27" w:name="data-collection-instruments"/>
    <w:p>
      <w:pPr>
        <w:pStyle w:val="Heading2"/>
      </w:pPr>
      <w:r>
        <w:t xml:space="preserve">5. Data Collection Instruments</w:t>
      </w:r>
    </w:p>
    <w:p>
      <w:pPr>
        <w:pStyle w:val="FirstParagraph"/>
      </w:pPr>
      <w:r>
        <w:t xml:space="preserve">The Economist will utilize the following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Structured Questionnaire</w:t>
            </w:r>
          </w:p>
        </w:tc>
        <w:tc>
          <w:tcPr/>
          <w:p>
            <w:pPr>
              <w:pStyle w:val="Compact"/>
              <w:jc w:val="left"/>
            </w:pPr>
            <w:r>
              <w:t xml:space="preserve">A 20-question survey covering demographics, income levels, and shopping habits.</w:t>
            </w:r>
          </w:p>
        </w:tc>
        <w:tc>
          <w:tcPr/>
          <w:p>
            <w:pPr>
              <w:pStyle w:val="Compact"/>
              <w:jc w:val="left"/>
            </w:pPr>
            <w:r>
              <w:t xml:space="preserve">To gather baseline socioeconomic data.</w:t>
            </w:r>
          </w:p>
        </w:tc>
      </w:tr>
      <w:tr>
        <w:tc>
          <w:tcPr/>
          <w:p>
            <w:pPr>
              <w:pStyle w:val="Compact"/>
              <w:jc w:val="left"/>
            </w:pPr>
            <w:r>
              <w:t xml:space="preserve">Conjoint Choice Cards</w:t>
            </w:r>
          </w:p>
        </w:tc>
        <w:tc>
          <w:tcPr/>
          <w:p>
            <w:pPr>
              <w:pStyle w:val="Compact"/>
              <w:jc w:val="left"/>
            </w:pPr>
            <w:r>
              <w:t xml:space="preserve">Visual cards displaying different product bundles with varying prices.</w:t>
            </w:r>
          </w:p>
        </w:tc>
        <w:tc>
          <w:tcPr/>
          <w:p>
            <w:pPr>
              <w:pStyle w:val="Compact"/>
              <w:jc w:val="left"/>
            </w:pPr>
            <w:r>
              <w:t xml:space="preserve">To measure preference and price sensitivity.</w:t>
            </w:r>
          </w:p>
        </w:tc>
      </w:tr>
      <w:tr>
        <w:tc>
          <w:tcPr/>
          <w:p>
            <w:pPr>
              <w:pStyle w:val="Compact"/>
              <w:jc w:val="left"/>
            </w:pPr>
            <w:r>
              <w:t xml:space="preserve">Field Observation Log</w:t>
            </w:r>
          </w:p>
        </w:tc>
        <w:tc>
          <w:tcPr/>
          <w:p>
            <w:pPr>
              <w:pStyle w:val="Compact"/>
              <w:jc w:val="left"/>
            </w:pPr>
            <w:r>
              <w:t xml:space="preserve">A digital form used by researchers to record real-time transaction data in markets.</w:t>
            </w:r>
          </w:p>
        </w:tc>
        <w:tc>
          <w:tcPr/>
          <w:p>
            <w:pPr>
              <w:pStyle w:val="Compact"/>
              <w:jc w:val="left"/>
            </w:pPr>
            <w:r>
              <w:t xml:space="preserve">To analyze haggling behavior and price dispersion.</w:t>
            </w:r>
          </w:p>
        </w:tc>
      </w:tr>
    </w:tbl>
    <w:bookmarkEnd w:id="27"/>
    <w:bookmarkStart w:id="28" w:name="data-analysis-plan"/>
    <w:p>
      <w:pPr>
        <w:pStyle w:val="Heading2"/>
      </w:pPr>
      <w:r>
        <w:t xml:space="preserve">6. Data Analysis Plan</w:t>
      </w:r>
    </w:p>
    <w:p>
      <w:pPr>
        <w:pStyle w:val="FirstParagraph"/>
      </w:pPr>
      <w:r>
        <w:t xml:space="preserve">Collected data will be analyzed using statistical software (e.g., Stata or R). The Economist will perform the following analyses:</w:t>
      </w:r>
    </w:p>
    <w:p>
      <w:pPr>
        <w:numPr>
          <w:ilvl w:val="0"/>
          <w:numId w:val="1004"/>
        </w:numPr>
        <w:pStyle w:val="Compact"/>
      </w:pPr>
      <w:r>
        <w:rPr>
          <w:bCs/>
          <w:b/>
        </w:rPr>
        <w:t xml:space="preserve">Descriptive Statistics:</w:t>
      </w:r>
      <w:r>
        <w:t xml:space="preserve"> </w:t>
      </w:r>
      <w:r>
        <w:t xml:space="preserve">To summarize the demographic profile of Alexandria's consumers.</w:t>
      </w:r>
    </w:p>
    <w:p>
      <w:pPr>
        <w:numPr>
          <w:ilvl w:val="0"/>
          <w:numId w:val="1004"/>
        </w:numPr>
        <w:pStyle w:val="Compact"/>
      </w:pPr>
      <w:r>
        <w:rPr>
          <w:bCs/>
          <w:b/>
        </w:rPr>
        <w:t xml:space="preserve">Regression Analysis:</w:t>
      </w:r>
      <w:r>
        <w:t xml:space="preserve"> </w:t>
      </w:r>
      <w:r>
        <w:t xml:space="preserve">To determine the relationship between income levels and price elasticity.</w:t>
      </w:r>
    </w:p>
    <w:p>
      <w:pPr>
        <w:numPr>
          <w:ilvl w:val="0"/>
          <w:numId w:val="1004"/>
        </w:numPr>
        <w:pStyle w:val="Compact"/>
      </w:pPr>
      <w:r>
        <w:rPr>
          <w:bCs/>
          <w:b/>
        </w:rPr>
        <w:t xml:space="preserve">Difference-in-Differences:</w:t>
      </w:r>
      <w:r>
        <w:t xml:space="preserve"> </w:t>
      </w:r>
      <w:r>
        <w:t xml:space="preserve">To compare purchasing behavior before and after simulated price shocks.</w:t>
      </w:r>
    </w:p>
    <w:bookmarkEnd w:id="28"/>
    <w:bookmarkStart w:id="29" w:name="timeline"/>
    <w:p>
      <w:pPr>
        <w:pStyle w:val="Heading2"/>
      </w:pPr>
      <w:r>
        <w:t xml:space="preserve">7. Timeline</w:t>
      </w:r>
    </w:p>
    <w:p>
      <w:pPr>
        <w:numPr>
          <w:ilvl w:val="0"/>
          <w:numId w:val="1005"/>
        </w:numPr>
        <w:pStyle w:val="Compact"/>
      </w:pPr>
      <w:r>
        <w:rPr>
          <w:bCs/>
          <w:b/>
        </w:rPr>
        <w:t xml:space="preserve">Weeks 1-2:</w:t>
      </w:r>
      <w:r>
        <w:t xml:space="preserve"> </w:t>
      </w:r>
      <w:r>
        <w:t xml:space="preserve">Recruitment of research assistants and translation of materials into Arabic.</w:t>
      </w:r>
    </w:p>
    <w:p>
      <w:pPr>
        <w:numPr>
          <w:ilvl w:val="0"/>
          <w:numId w:val="1005"/>
        </w:numPr>
        <w:pStyle w:val="Compact"/>
      </w:pPr>
      <w:r>
        <w:rPr>
          <w:bCs/>
          <w:b/>
        </w:rPr>
        <w:t xml:space="preserve">Weeks 3-4:</w:t>
      </w:r>
      <w:r>
        <w:t xml:space="preserve"> </w:t>
      </w:r>
      <w:r>
        <w:t xml:space="preserve">Pilot testing in a small neighborhood in Alexandria to refine instruments.</w:t>
      </w:r>
    </w:p>
    <w:p>
      <w:pPr>
        <w:numPr>
          <w:ilvl w:val="0"/>
          <w:numId w:val="1005"/>
        </w:numPr>
        <w:pStyle w:val="Compact"/>
      </w:pPr>
      <w:r>
        <w:rPr>
          <w:bCs/>
          <w:b/>
        </w:rPr>
        <w:t xml:space="preserve">Weeks 5-7:</w:t>
      </w:r>
      <w:r>
        <w:t xml:space="preserve"> </w:t>
      </w:r>
      <w:r>
        <w:t xml:space="preserve">Full-scale data collection across the three designated zones.</w:t>
      </w:r>
    </w:p>
    <w:p>
      <w:pPr>
        <w:numPr>
          <w:ilvl w:val="0"/>
          <w:numId w:val="1005"/>
        </w:numPr>
        <w:pStyle w:val="Compact"/>
      </w:pPr>
      <w:r>
        <w:rPr>
          <w:bCs/>
          <w:b/>
        </w:rPr>
        <w:t xml:space="preserve">Week 8:</w:t>
      </w:r>
      <w:r>
        <w:t xml:space="preserve"> </w:t>
      </w:r>
      <w:r>
        <w:t xml:space="preserve">Data cleaning, analysis, and drafting of the preliminary report.</w:t>
      </w:r>
    </w:p>
    <w:bookmarkEnd w:id="29"/>
    <w:bookmarkStart w:id="30" w:name="risk-management"/>
    <w:p>
      <w:pPr>
        <w:pStyle w:val="Heading2"/>
      </w:pPr>
      <w:r>
        <w:t xml:space="preserve">8. Risk Management</w:t>
      </w:r>
    </w:p>
    <w:p>
      <w:pPr>
        <w:pStyle w:val="FirstParagraph"/>
      </w:pPr>
      <w:r>
        <w:t xml:space="preserve">Given the urban environment of Alexandria, potential risks include low response rates or logistical challenges. Mitigation strategies include:</w:t>
      </w:r>
    </w:p>
    <w:p>
      <w:pPr>
        <w:numPr>
          <w:ilvl w:val="0"/>
          <w:numId w:val="1006"/>
        </w:numPr>
        <w:pStyle w:val="Compact"/>
      </w:pPr>
      <w:r>
        <w:t xml:space="preserve">Collaborating with local community leaders to build trust.</w:t>
      </w:r>
    </w:p>
    <w:p>
      <w:pPr>
        <w:numPr>
          <w:ilvl w:val="0"/>
          <w:numId w:val="1006"/>
        </w:numPr>
        <w:pStyle w:val="Compact"/>
      </w:pPr>
      <w:r>
        <w:t xml:space="preserve">Conducting surveys during peak market hours to maximize accessibility.</w:t>
      </w:r>
    </w:p>
    <w:p>
      <w:pPr>
        <w:numPr>
          <w:ilvl w:val="0"/>
          <w:numId w:val="1006"/>
        </w:numPr>
        <w:pStyle w:val="Compact"/>
      </w:pPr>
      <w:r>
        <w:t xml:space="preserve">Ensuring all research staff are trained in cultural sensitivity and local customs.</w:t>
      </w:r>
    </w:p>
    <w:bookmarkEnd w:id="30"/>
    <w:bookmarkStart w:id="31" w:name="conclusion"/>
    <w:p>
      <w:pPr>
        <w:pStyle w:val="Heading2"/>
      </w:pPr>
      <w:r>
        <w:t xml:space="preserve">9. Conclusion</w:t>
      </w:r>
    </w:p>
    <w:p>
      <w:pPr>
        <w:pStyle w:val="FirstParagraph"/>
      </w:pPr>
      <w:r>
        <w:t xml:space="preserve">This Experiment Protocol provides a rigorous framework for an Economist to investigate market dynamics in Egypt, Alexandria. By combining theoretical economic models with empirical field data, this study will contribute valuable insights into consumer behavior in a developing urban economy. The findings will not only advance academic knowledge but also offer practical implications for economic policy and business strategy in the region.</w:t>
      </w:r>
    </w:p>
    <w:p>
      <w:pPr>
        <w:pStyle w:val="BodyText"/>
      </w:pPr>
      <w:r>
        <w:t xml:space="preserve">© 2023 Economic Research Institute. All rights reserved.</w:t>
      </w:r>
    </w:p>
    <w:p>
      <w:pPr>
        <w:pStyle w:val="BodyText"/>
      </w:pPr>
      <w:r>
        <w:t xml:space="preserve">Document generated for internal use and regulatory compliance.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Alexandria, Egypt</dc:title>
  <dc:creator/>
  <dc:language>en</dc:language>
  <cp:keywords/>
  <dcterms:created xsi:type="dcterms:W3CDTF">2026-10-10T09:17:03Z</dcterms:created>
  <dcterms:modified xsi:type="dcterms:W3CDTF">2026-10-10T09:17:03Z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