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Addis</w:t>
      </w:r>
      <w:r>
        <w:t xml:space="preserve"> </w:t>
      </w:r>
      <w:r>
        <w:t xml:space="preserve">Ababa</w:t>
      </w:r>
    </w:p>
    <w:bookmarkStart w:id="20" w:name="Xe25081f7074e6a664ca753b2560fae1b30e31c4"/>
    <w:p>
      <w:pPr>
        <w:pStyle w:val="Heading1"/>
      </w:pPr>
      <w:r>
        <w:t xml:space="preserve">Experiment Protocol: Microfinance Decision-Making and Risk Aversion</w:t>
      </w:r>
    </w:p>
    <w:p>
      <w:pPr>
        <w:pStyle w:val="FirstParagraph"/>
      </w:pPr>
      <w:r>
        <w:rPr>
          <w:bCs/>
          <w:b/>
        </w:rPr>
        <w:t xml:space="preserve">Location:</w:t>
      </w:r>
      <w:r>
        <w:t xml:space="preserve"> </w:t>
      </w:r>
      <w:r>
        <w:t xml:space="preserve">Addis Ababa, Ethiopia</w:t>
      </w:r>
    </w:p>
    <w:p>
      <w:pPr>
        <w:pStyle w:val="BodyText"/>
      </w:pPr>
      <w:r>
        <w:rPr>
          <w:bCs/>
          <w:b/>
        </w:rPr>
        <w:t xml:space="preserve">Discipline:</w:t>
      </w:r>
      <w:r>
        <w:t xml:space="preserve"> </w:t>
      </w:r>
      <w:r>
        <w:t xml:space="preserve">Development Economics / Behavioral Economics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the behavioral patterns of financial decision-making among smallholder entrepreneurs and informal sector workers in</w:t>
      </w:r>
      <w:r>
        <w:t xml:space="preserve"> </w:t>
      </w:r>
      <w:r>
        <w:rPr>
          <w:bCs/>
          <w:b/>
        </w:rPr>
        <w:t xml:space="preserve">Ethiopia Addis Ababa</w:t>
      </w:r>
      <w:r>
        <w:t xml:space="preserve">. As the economic hub of the Horn of Africa, Addis Ababa presents a unique environment where traditional financial systems intersect with rapidly modernizing digital payment infrastructures.</w:t>
      </w:r>
    </w:p>
    <w:p>
      <w:pPr>
        <w:pStyle w:val="BodyText"/>
      </w:pPr>
      <w:r>
        <w:t xml:space="preserve">The primary objective of this study is to determine how risk aversion and social preferences influence the adoption of microfinance products. By employing rigorous experimental methods, the</w:t>
      </w:r>
      <w:r>
        <w:t xml:space="preserve"> </w:t>
      </w:r>
      <w:r>
        <w:rPr>
          <w:bCs/>
          <w:b/>
        </w:rPr>
        <w:t xml:space="preserve">Economist</w:t>
      </w:r>
      <w:r>
        <w:t xml:space="preserve"> </w:t>
      </w:r>
      <w:r>
        <w:t xml:space="preserve">leading this research aims to generate causal evidence that can inform policy interventions by the National Bank of Ethiopia and local financial institutions. The study focuses on understanding whether framing effects in loan contracts significantly alter repayment behavior and investment choices in a developing economy context.</w:t>
      </w:r>
    </w:p>
    <w:bookmarkEnd w:id="21"/>
    <w:bookmarkStart w:id="22" w:name="research-objectives"/>
    <w:p>
      <w:pPr>
        <w:pStyle w:val="Heading2"/>
      </w:pPr>
      <w:r>
        <w:t xml:space="preserve">2. Research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degree of risk aversion among informal market traders in the Merkato district of</w:t>
      </w:r>
      <w:r>
        <w:t xml:space="preserve"> </w:t>
      </w:r>
      <w:r>
        <w:rPr>
          <w:bCs/>
          <w:b/>
        </w:rPr>
        <w:t xml:space="preserve">Ethiopia Addis Ababa</w:t>
      </w:r>
      <w:r>
        <w:t xml:space="preserve">.</w:t>
      </w:r>
    </w:p>
    <w:p>
      <w:pPr>
        <w:numPr>
          <w:ilvl w:val="0"/>
          <w:numId w:val="1001"/>
        </w:numPr>
        <w:pStyle w:val="Compact"/>
      </w:pPr>
      <w:r>
        <w:t xml:space="preserve">To evaluate the impact of social pressure and group lending structures on individual repayment decisions.</w:t>
      </w:r>
    </w:p>
    <w:p>
      <w:pPr>
        <w:numPr>
          <w:ilvl w:val="0"/>
          <w:numId w:val="1001"/>
        </w:numPr>
        <w:pStyle w:val="Compact"/>
      </w:pPr>
      <w:r>
        <w:t xml:space="preserve">To assess the effectiveness of simplified financial literacy interventions on long-term savings behavior.</w:t>
      </w:r>
    </w:p>
    <w:p>
      <w:pPr>
        <w:numPr>
          <w:ilvl w:val="0"/>
          <w:numId w:val="1001"/>
        </w:numPr>
        <w:pStyle w:val="Compact"/>
      </w:pPr>
      <w:r>
        <w:t xml:space="preserve">To provide the</w:t>
      </w:r>
      <w:r>
        <w:t xml:space="preserve"> </w:t>
      </w:r>
      <w:r>
        <w:rPr>
          <w:bCs/>
          <w:b/>
        </w:rPr>
        <w:t xml:space="preserve">Economist</w:t>
      </w:r>
      <w:r>
        <w:t xml:space="preserve"> </w:t>
      </w:r>
      <w:r>
        <w:t xml:space="preserve">with robust data to model the elasticity of demand for credit in urban Ethiopian settings.</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Randomized Controlled Trial (RCT) design. The</w:t>
      </w:r>
      <w:r>
        <w:t xml:space="preserve"> </w:t>
      </w:r>
      <w:r>
        <w:rPr>
          <w:bCs/>
          <w:b/>
        </w:rPr>
        <w:t xml:space="preserve">Economist</w:t>
      </w:r>
      <w:r>
        <w:t xml:space="preserve"> </w:t>
      </w:r>
      <w:r>
        <w:t xml:space="preserve">will recruit a sample of 600 participants from three distinct zones within</w:t>
      </w:r>
      <w:r>
        <w:t xml:space="preserve"> </w:t>
      </w:r>
      <w:r>
        <w:rPr>
          <w:bCs/>
          <w:b/>
        </w:rPr>
        <w:t xml:space="preserve">Ethiopia Addis Ababa</w:t>
      </w:r>
      <w:r>
        <w:t xml:space="preserve">: Bole, Kirkos, and Yeka. These zones were selected to ensure a diverse representation of income levels and business types. Participants will be randomly assigned to one of three treatment groups or a control group.</w:t>
      </w:r>
    </w:p>
    <w:p>
      <w:pPr>
        <w:numPr>
          <w:ilvl w:val="0"/>
          <w:numId w:val="1002"/>
        </w:numPr>
        <w:pStyle w:val="Compact"/>
      </w:pPr>
      <w:r>
        <w:rPr>
          <w:bCs/>
          <w:b/>
        </w:rPr>
        <w:t xml:space="preserve">Control Group:</w:t>
      </w:r>
      <w:r>
        <w:t xml:space="preserve"> </w:t>
      </w:r>
      <w:r>
        <w:t xml:space="preserve">Receives standard financial information without experimental manipulation.</w:t>
      </w:r>
    </w:p>
    <w:p>
      <w:pPr>
        <w:numPr>
          <w:ilvl w:val="0"/>
          <w:numId w:val="1002"/>
        </w:numPr>
        <w:pStyle w:val="Compact"/>
      </w:pPr>
      <w:r>
        <w:rPr>
          <w:bCs/>
          <w:b/>
        </w:rPr>
        <w:t xml:space="preserve">Treatment Group A (Framing):</w:t>
      </w:r>
      <w:r>
        <w:t xml:space="preserve"> </w:t>
      </w:r>
      <w:r>
        <w:t xml:space="preserve">Receives loan offers framed with a focus on potential gains.</w:t>
      </w:r>
    </w:p>
    <w:p>
      <w:pPr>
        <w:numPr>
          <w:ilvl w:val="0"/>
          <w:numId w:val="1002"/>
        </w:numPr>
        <w:pStyle w:val="Compact"/>
      </w:pPr>
      <w:r>
        <w:rPr>
          <w:bCs/>
          <w:b/>
        </w:rPr>
        <w:t xml:space="preserve">Treatment Group B (Social):</w:t>
      </w:r>
      <w:r>
        <w:t xml:space="preserve"> </w:t>
      </w:r>
      <w:r>
        <w:t xml:space="preserve">Participates in a group-lending simulation emphasizing peer accountability.</w:t>
      </w:r>
    </w:p>
    <w:p>
      <w:pPr>
        <w:numPr>
          <w:ilvl w:val="0"/>
          <w:numId w:val="1002"/>
        </w:numPr>
        <w:pStyle w:val="Compact"/>
      </w:pPr>
      <w:r>
        <w:rPr>
          <w:bCs/>
          <w:b/>
        </w:rPr>
        <w:t xml:space="preserve">Treatment Group C (Digital):</w:t>
      </w:r>
      <w:r>
        <w:t xml:space="preserve"> </w:t>
      </w:r>
      <w:r>
        <w:t xml:space="preserve">Utilizes a mobile money interface for all transactions to test technology adoption.</w:t>
      </w:r>
    </w:p>
    <w:bookmarkEnd w:id="23"/>
    <w:bookmarkStart w:id="24" w:name="experimental-procedure"/>
    <w:p>
      <w:pPr>
        <w:pStyle w:val="Heading3"/>
      </w:pPr>
      <w:r>
        <w:t xml:space="preserve">3.2 Experimental Procedure</w:t>
      </w:r>
    </w:p>
    <w:p>
      <w:pPr>
        <w:pStyle w:val="FirstParagraph"/>
      </w:pPr>
      <w:r>
        <w:t xml:space="preserve">The field experiment will take place over a period of six months. The</w:t>
      </w:r>
      <w:r>
        <w:t xml:space="preserve"> </w:t>
      </w:r>
      <w:r>
        <w:rPr>
          <w:bCs/>
          <w:b/>
        </w:rPr>
        <w:t xml:space="preserve">Economist</w:t>
      </w:r>
      <w:r>
        <w:t xml:space="preserve"> </w:t>
      </w:r>
      <w:r>
        <w:t xml:space="preserve">and trained enumerators will conduct sessions in local community centers. Each session will begin with an informed consent process conducted in Amharic to ensure full comprehension. Participants will engage in incentivized decision-making games, such as the Holt-Laury risk elicitation task, adapted for the local currency (Ethiopian Birr).</w:t>
      </w:r>
    </w:p>
    <w:p>
      <w:pPr>
        <w:pStyle w:val="BodyText"/>
      </w:pPr>
      <w:r>
        <w:t xml:space="preserve">Following the initial survey, participants will be offered real micro-loans based on their assigned treatment group. The</w:t>
      </w:r>
      <w:r>
        <w:t xml:space="preserve"> </w:t>
      </w:r>
      <w:r>
        <w:rPr>
          <w:bCs/>
          <w:b/>
        </w:rPr>
        <w:t xml:space="preserve">Experiment Protocol</w:t>
      </w:r>
      <w:r>
        <w:t xml:space="preserve"> </w:t>
      </w:r>
      <w:r>
        <w:t xml:space="preserve">mandates that all loans be disbursed through verified channels to ensure transparency. Data collection will occur at baseline, midline (3 months), and endline (6 months) to track changes in behavior and economic outcomes.</w:t>
      </w:r>
    </w:p>
    <w:bookmarkEnd w:id="24"/>
    <w:bookmarkEnd w:id="25"/>
    <w:bookmarkStart w:id="26" w:name="ethical-considerations"/>
    <w:p>
      <w:pPr>
        <w:pStyle w:val="Heading2"/>
      </w:pPr>
      <w:r>
        <w:t xml:space="preserve">4. Ethical Considerations</w:t>
      </w:r>
    </w:p>
    <w:p>
      <w:pPr>
        <w:pStyle w:val="FirstParagraph"/>
      </w:pPr>
      <w:r>
        <w:t xml:space="preserve">Adherence to ethical standards is paramount in this</w:t>
      </w:r>
      <w:r>
        <w:t xml:space="preserve"> </w:t>
      </w:r>
      <w:r>
        <w:rPr>
          <w:bCs/>
          <w:b/>
        </w:rPr>
        <w:t xml:space="preserve">Experiment Protocol</w:t>
      </w:r>
      <w:r>
        <w:t xml:space="preserve">. The study has received approval from the Institutional Review Board (IRB) of the hosting university and the relevant authorities in</w:t>
      </w:r>
      <w:r>
        <w:t xml:space="preserve"> </w:t>
      </w:r>
      <w:r>
        <w:rPr>
          <w:bCs/>
          <w:b/>
        </w:rPr>
        <w:t xml:space="preserve">Ethiopia Addis Ababa</w:t>
      </w:r>
      <w:r>
        <w:t xml:space="preserve">. Key ethical safeguards include:</w:t>
      </w:r>
    </w:p>
    <w:p>
      <w:pPr>
        <w:numPr>
          <w:ilvl w:val="0"/>
          <w:numId w:val="1003"/>
        </w:numPr>
        <w:pStyle w:val="Compact"/>
      </w:pPr>
      <w:r>
        <w:rPr>
          <w:bCs/>
          <w:b/>
        </w:rPr>
        <w:t xml:space="preserve">Informed Consent:</w:t>
      </w:r>
      <w:r>
        <w:t xml:space="preserve"> </w:t>
      </w:r>
      <w:r>
        <w:t xml:space="preserve">All participants must voluntarily agree to participate without coercion. The consent form clearly states that participation does not guarantee a loan.</w:t>
      </w:r>
    </w:p>
    <w:p>
      <w:pPr>
        <w:numPr>
          <w:ilvl w:val="0"/>
          <w:numId w:val="1003"/>
        </w:numPr>
        <w:pStyle w:val="Compact"/>
      </w:pPr>
      <w:r>
        <w:rPr>
          <w:bCs/>
          <w:b/>
        </w:rPr>
        <w:t xml:space="preserve">Privacy and Confidentiality:</w:t>
      </w:r>
      <w:r>
        <w:t xml:space="preserve"> </w:t>
      </w:r>
      <w:r>
        <w:t xml:space="preserve">Personal data collected by the</w:t>
      </w:r>
      <w:r>
        <w:t xml:space="preserve"> </w:t>
      </w:r>
      <w:r>
        <w:rPr>
          <w:bCs/>
          <w:b/>
        </w:rPr>
        <w:t xml:space="preserve">Economist</w:t>
      </w:r>
      <w:r>
        <w:t xml:space="preserve"> </w:t>
      </w:r>
      <w:r>
        <w:t xml:space="preserve">will be anonymized and stored securely. No individual data will be shared with third parties without explicit permission.</w:t>
      </w:r>
    </w:p>
    <w:p>
      <w:pPr>
        <w:numPr>
          <w:ilvl w:val="0"/>
          <w:numId w:val="1003"/>
        </w:numPr>
        <w:pStyle w:val="Compact"/>
      </w:pPr>
      <w:r>
        <w:rPr>
          <w:bCs/>
          <w:b/>
        </w:rPr>
        <w:t xml:space="preserve">Do No Harm:</w:t>
      </w:r>
      <w:r>
        <w:t xml:space="preserve"> </w:t>
      </w:r>
      <w:r>
        <w:t xml:space="preserve">The experimental loans are structured to ensure that repayment terms are realistic and do not push participants into debt traps. The</w:t>
      </w:r>
      <w:r>
        <w:t xml:space="preserve"> </w:t>
      </w:r>
      <w:r>
        <w:rPr>
          <w:bCs/>
          <w:b/>
        </w:rPr>
        <w:t xml:space="preserve">Economist</w:t>
      </w:r>
      <w:r>
        <w:t xml:space="preserve"> </w:t>
      </w:r>
      <w:r>
        <w:t xml:space="preserve">will monitor financial distress indicators throughout the study.</w:t>
      </w:r>
    </w:p>
    <w:p>
      <w:pPr>
        <w:numPr>
          <w:ilvl w:val="0"/>
          <w:numId w:val="1003"/>
        </w:numPr>
        <w:pStyle w:val="Compact"/>
      </w:pPr>
      <w:r>
        <w:rPr>
          <w:bCs/>
          <w:b/>
        </w:rPr>
        <w:t xml:space="preserve">Compensation:</w:t>
      </w:r>
      <w:r>
        <w:t xml:space="preserve"> </w:t>
      </w:r>
      <w:r>
        <w:t xml:space="preserve">Participants will receive a small stipend for their time, regardless of their performance in the experimental tasks, to compensate for opportunity costs.</w:t>
      </w:r>
    </w:p>
    <w:bookmarkEnd w:id="26"/>
    <w:bookmarkStart w:id="27" w:name="data-analysis-plan"/>
    <w:p>
      <w:pPr>
        <w:pStyle w:val="Heading2"/>
      </w:pPr>
      <w:r>
        <w:t xml:space="preserve">5. Data Analysis Plan</w:t>
      </w:r>
    </w:p>
    <w:p>
      <w:pPr>
        <w:pStyle w:val="FirstParagraph"/>
      </w:pPr>
      <w:r>
        <w:t xml:space="preserve">The</w:t>
      </w:r>
      <w:r>
        <w:t xml:space="preserve"> </w:t>
      </w:r>
      <w:r>
        <w:rPr>
          <w:bCs/>
          <w:b/>
        </w:rPr>
        <w:t xml:space="preserve">Economist</w:t>
      </w:r>
      <w:r>
        <w:t xml:space="preserve"> </w:t>
      </w:r>
      <w:r>
        <w:t xml:space="preserve">will employ econometric techniques to analyze the data generated by this</w:t>
      </w:r>
      <w:r>
        <w:t xml:space="preserve"> </w:t>
      </w:r>
      <w:r>
        <w:rPr>
          <w:bCs/>
          <w:b/>
        </w:rPr>
        <w:t xml:space="preserve">Experiment Protocol</w:t>
      </w:r>
      <w:r>
        <w:t xml:space="preserve">. Primary analysis will involve Ordinary Least Squares (OLS) regression to compare outcomes across treatment and control groups. To account for potential heterogeneity, subgroup analyses will be conducted based on gender, age, and prior financial experience.</w:t>
      </w:r>
    </w:p>
    <w:p>
      <w:pPr>
        <w:pStyle w:val="BodyText"/>
      </w:pPr>
      <w:r>
        <w:t xml:space="preserve">Special attention will be paid to the context of</w:t>
      </w:r>
      <w:r>
        <w:t xml:space="preserve"> </w:t>
      </w:r>
      <w:r>
        <w:rPr>
          <w:bCs/>
          <w:b/>
        </w:rPr>
        <w:t xml:space="preserve">Ethiopia Addis Ababa</w:t>
      </w:r>
      <w:r>
        <w:t xml:space="preserve">, controlling for macroeconomic variables such as inflation rates and exchange rate fluctuations that may influence financial decisions during the study period. The results will be used to estimate the causal effect of the interventions on financial inclusion metrics.</w:t>
      </w:r>
    </w:p>
    <w:bookmarkEnd w:id="27"/>
    <w:bookmarkStart w:id="28" w:name="timeline-and-logistics"/>
    <w:p>
      <w:pPr>
        <w:pStyle w:val="Heading2"/>
      </w:pPr>
      <w:r>
        <w:t xml:space="preserve">6. Timeline and Logistics</w:t>
      </w:r>
    </w:p>
    <w:p>
      <w:pPr>
        <w:pStyle w:val="FirstParagraph"/>
      </w:pPr>
      <w:r>
        <w:t xml:space="preserve">The implementation of this</w:t>
      </w:r>
      <w:r>
        <w:t xml:space="preserve"> </w:t>
      </w:r>
      <w:r>
        <w:rPr>
          <w:bCs/>
          <w:b/>
        </w:rPr>
        <w:t xml:space="preserve">Experiment Protocol</w:t>
      </w:r>
      <w:r>
        <w:t xml:space="preserve"> </w:t>
      </w:r>
      <w:r>
        <w:t xml:space="preserve">is scheduled as follows:</w:t>
      </w:r>
    </w:p>
    <w:p>
      <w:pPr>
        <w:numPr>
          <w:ilvl w:val="0"/>
          <w:numId w:val="1004"/>
        </w:numPr>
        <w:pStyle w:val="Compact"/>
      </w:pPr>
      <w:r>
        <w:rPr>
          <w:bCs/>
          <w:b/>
        </w:rPr>
        <w:t xml:space="preserve">Months 1-2:</w:t>
      </w:r>
      <w:r>
        <w:t xml:space="preserve"> </w:t>
      </w:r>
      <w:r>
        <w:t xml:space="preserve">Recruitment of enumerators, translation of materials into Amharic, and ethical clearance in</w:t>
      </w:r>
      <w:r>
        <w:t xml:space="preserve"> </w:t>
      </w:r>
      <w:r>
        <w:rPr>
          <w:bCs/>
          <w:b/>
        </w:rPr>
        <w:t xml:space="preserve">Ethiopia Addis Ababa</w:t>
      </w:r>
      <w:r>
        <w:t xml:space="preserve">.</w:t>
      </w:r>
    </w:p>
    <w:p>
      <w:pPr>
        <w:numPr>
          <w:ilvl w:val="0"/>
          <w:numId w:val="1004"/>
        </w:numPr>
        <w:pStyle w:val="Compact"/>
      </w:pPr>
      <w:r>
        <w:rPr>
          <w:bCs/>
          <w:b/>
        </w:rPr>
        <w:t xml:space="preserve">Months 3-4:</w:t>
      </w:r>
      <w:r>
        <w:t xml:space="preserve"> </w:t>
      </w:r>
      <w:r>
        <w:t xml:space="preserve">Baseline data collection and randomization of participants.</w:t>
      </w:r>
    </w:p>
    <w:p>
      <w:pPr>
        <w:numPr>
          <w:ilvl w:val="0"/>
          <w:numId w:val="1004"/>
        </w:numPr>
        <w:pStyle w:val="Compact"/>
      </w:pPr>
      <w:r>
        <w:rPr>
          <w:bCs/>
          <w:b/>
        </w:rPr>
        <w:t xml:space="preserve">Months 5-10:</w:t>
      </w:r>
      <w:r>
        <w:t xml:space="preserve"> </w:t>
      </w:r>
      <w:r>
        <w:t xml:space="preserve">Intervention period and midline data collection.</w:t>
      </w:r>
    </w:p>
    <w:p>
      <w:pPr>
        <w:numPr>
          <w:ilvl w:val="0"/>
          <w:numId w:val="1004"/>
        </w:numPr>
        <w:pStyle w:val="Compact"/>
      </w:pPr>
      <w:r>
        <w:rPr>
          <w:bCs/>
          <w:b/>
        </w:rPr>
        <w:t xml:space="preserve">Months 11-12:</w:t>
      </w:r>
      <w:r>
        <w:t xml:space="preserve"> </w:t>
      </w:r>
      <w:r>
        <w:t xml:space="preserve">Endline data collection and loan closure.</w:t>
      </w:r>
    </w:p>
    <w:p>
      <w:pPr>
        <w:numPr>
          <w:ilvl w:val="0"/>
          <w:numId w:val="1004"/>
        </w:numPr>
        <w:pStyle w:val="Compact"/>
      </w:pPr>
      <w:r>
        <w:rPr>
          <w:bCs/>
          <w:b/>
        </w:rPr>
        <w:t xml:space="preserve">Months 13-15:</w:t>
      </w:r>
      <w:r>
        <w:t xml:space="preserve"> </w:t>
      </w:r>
      <w:r>
        <w:t xml:space="preserve">Data cleaning, analysis by the</w:t>
      </w:r>
      <w:r>
        <w:t xml:space="preserve"> </w:t>
      </w:r>
      <w:r>
        <w:rPr>
          <w:bCs/>
          <w:b/>
        </w:rPr>
        <w:t xml:space="preserve">Economist</w:t>
      </w:r>
      <w:r>
        <w:t xml:space="preserve">, and drafting of the final report.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rigorous approach to understanding the financial behaviors of urban populations in</w:t>
      </w:r>
      <w:r>
        <w:t xml:space="preserve"> </w:t>
      </w:r>
      <w:r>
        <w:rPr>
          <w:bCs/>
          <w:b/>
        </w:rPr>
        <w:t xml:space="preserve">Ethiopia Addis Ababa</w:t>
      </w:r>
      <w:r>
        <w:t xml:space="preserve">. By combining field experiments with economic theory, the</w:t>
      </w:r>
      <w:r>
        <w:t xml:space="preserve"> </w:t>
      </w:r>
      <w:r>
        <w:rPr>
          <w:bCs/>
          <w:b/>
        </w:rPr>
        <w:t xml:space="preserve">Economist</w:t>
      </w:r>
      <w:r>
        <w:t xml:space="preserve"> </w:t>
      </w:r>
      <w:r>
        <w:t xml:space="preserve">aims to produce actionable insights that can enhance financial inclusion and economic resilience in the region. The findings will contribute to the broader literature on development economics and provide a template for future research in similar contexts.</w:t>
      </w:r>
    </w:p>
    <w:p>
      <w:pPr>
        <w:pStyle w:val="BodyText"/>
      </w:pPr>
      <w:r>
        <w:t xml:space="preserve">© 2023 Development Economics Research Group. All rights reserved. This document is confidential and intended for research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Addis Ababa</dc:title>
  <dc:creator/>
  <dc:language>en</dc:language>
  <cp:keywords/>
  <dcterms:created xsi:type="dcterms:W3CDTF">2026-10-10T06:48:57Z</dcterms:created>
  <dcterms:modified xsi:type="dcterms:W3CDTF">2026-10-10T06:48:57Z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