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Frankfurt</w:t>
      </w:r>
    </w:p>
    <w:bookmarkStart w:id="30" w:name="Xe06ba7c987c03f13c3b9693d05db6c5bdc002f4"/>
    <w:p>
      <w:pPr>
        <w:pStyle w:val="Heading1"/>
      </w:pPr>
      <w:r>
        <w:t xml:space="preserve">Experiment Protocol: Behavioral Decision-Making in Financial Markets</w:t>
      </w:r>
    </w:p>
    <w:p>
      <w:pPr>
        <w:pStyle w:val="FirstParagraph"/>
      </w:pPr>
      <w:r>
        <w:rPr>
          <w:bCs/>
          <w:b/>
        </w:rPr>
        <w:t xml:space="preserve">Protocol ID:</w:t>
      </w:r>
      <w:r>
        <w:t xml:space="preserve"> </w:t>
      </w:r>
      <w:r>
        <w:t xml:space="preserve">BE-FRA-2024-001</w:t>
      </w:r>
    </w:p>
    <w:p>
      <w:pPr>
        <w:pStyle w:val="BodyText"/>
      </w:pPr>
      <w:r>
        <w:rPr>
          <w:bCs/>
          <w:b/>
        </w:rPr>
        <w:t xml:space="preserve">Location:</w:t>
      </w:r>
      <w:r>
        <w:t xml:space="preserve"> </w:t>
      </w:r>
      <w:r>
        <w:t xml:space="preserve">Frankfurt am Main, Germany</w:t>
      </w:r>
    </w:p>
    <w:p>
      <w:pPr>
        <w:pStyle w:val="BodyText"/>
      </w:pPr>
      <w:r>
        <w:rPr>
          <w:bCs/>
          <w:b/>
        </w:rPr>
        <w:t xml:space="preserve">Principal Investigator:</w:t>
      </w:r>
      <w:r>
        <w:t xml:space="preserve"> </w:t>
      </w:r>
      <w:r>
        <w:t xml:space="preserve">Lead Economist, Institute for Economic Research</w:t>
      </w:r>
    </w:p>
    <w:p>
      <w:pPr>
        <w:pStyle w:val="BodyText"/>
      </w:pPr>
      <w:r>
        <w:rPr>
          <w:bCs/>
          <w:b/>
        </w:rPr>
        <w:t xml:space="preserve">Date of Approval:</w:t>
      </w:r>
      <w:r>
        <w:t xml:space="preserve"> </w:t>
      </w:r>
      <w:r>
        <w:t xml:space="preserve">October 24, 2024</w:t>
      </w:r>
    </w:p>
    <w:p>
      <w:pPr>
        <w:pStyle w:val="BodyText"/>
      </w:pPr>
      <w:r>
        <w:rPr>
          <w:bCs/>
          <w:b/>
        </w:rPr>
        <w:t xml:space="preserve">Status:</w:t>
      </w:r>
      <w:r>
        <w:t xml:space="preserve"> </w:t>
      </w:r>
      <w:r>
        <w:t xml:space="preserve">Active</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investigate the behavioral patterns of professional and amateur</w:t>
      </w:r>
      <w:r>
        <w:t xml:space="preserve"> </w:t>
      </w:r>
      <w:r>
        <w:rPr>
          <w:bCs/>
          <w:b/>
        </w:rPr>
        <w:t xml:space="preserve">economist</w:t>
      </w:r>
      <w:r>
        <w:t xml:space="preserve"> </w:t>
      </w:r>
      <w:r>
        <w:t xml:space="preserve">participants within the unique financial ecosystem of</w:t>
      </w:r>
      <w:r>
        <w:t xml:space="preserve"> </w:t>
      </w:r>
      <w:r>
        <w:rPr>
          <w:bCs/>
          <w:b/>
        </w:rPr>
        <w:t xml:space="preserve">Germany Frankfurt</w:t>
      </w:r>
      <w:r>
        <w:t xml:space="preserve">. As the financial capital of Germany and a major hub for the European Central Bank (ECB), Frankfurt presents a distinct environment where high-stakes financial decisions are made daily. This study aims to bridge the gap between theoretical economic models and actual human behavior in a real-world financial context.</w:t>
      </w:r>
    </w:p>
    <w:p>
      <w:pPr>
        <w:pStyle w:val="BodyText"/>
      </w:pPr>
      <w:r>
        <w:t xml:space="preserve">The primary objective is to analyze how cognitive biases, such as loss aversion, overconfidence, and herd behavior, influence decision-making processes among individuals with varying levels of economic expertise. By situating this</w:t>
      </w:r>
      <w:r>
        <w:t xml:space="preserve"> </w:t>
      </w:r>
      <w:r>
        <w:rPr>
          <w:bCs/>
          <w:b/>
        </w:rPr>
        <w:t xml:space="preserve">Experiment Protocol</w:t>
      </w:r>
      <w:r>
        <w:t xml:space="preserve"> </w:t>
      </w:r>
      <w:r>
        <w:t xml:space="preserve">in</w:t>
      </w:r>
      <w:r>
        <w:t xml:space="preserve"> </w:t>
      </w:r>
      <w:r>
        <w:rPr>
          <w:bCs/>
          <w:b/>
        </w:rPr>
        <w:t xml:space="preserve">Germany Frankfurt</w:t>
      </w:r>
      <w:r>
        <w:t xml:space="preserve">, we leverage the city's dense concentration of financial institutions, banks, and regulatory bodies to recruit a highly relevant sample population. The insights gained will contribute to the broader understanding of market efficiency and the role of human psychology in economic forecasting.</w:t>
      </w:r>
    </w:p>
    <w:bookmarkEnd w:id="20"/>
    <w:bookmarkStart w:id="21" w:name="objectives-and-hypotheses"/>
    <w:p>
      <w:pPr>
        <w:pStyle w:val="Heading2"/>
      </w:pPr>
      <w:r>
        <w:t xml:space="preserve">2. Objectives and Hypotheses</w:t>
      </w:r>
    </w:p>
    <w:p>
      <w:pPr>
        <w:pStyle w:val="FirstParagraph"/>
      </w:pPr>
      <w:r>
        <w:t xml:space="preserve">The core objectives of this study are as follows:</w:t>
      </w:r>
    </w:p>
    <w:p>
      <w:pPr>
        <w:numPr>
          <w:ilvl w:val="0"/>
          <w:numId w:val="1001"/>
        </w:numPr>
        <w:pStyle w:val="Compact"/>
      </w:pPr>
      <w:r>
        <w:t xml:space="preserve">To quantify the extent to which professional</w:t>
      </w:r>
      <w:r>
        <w:t xml:space="preserve"> </w:t>
      </w:r>
      <w:r>
        <w:rPr>
          <w:bCs/>
          <w:b/>
        </w:rPr>
        <w:t xml:space="preserve">economist</w:t>
      </w:r>
      <w:r>
        <w:t xml:space="preserve"> </w:t>
      </w:r>
      <w:r>
        <w:t xml:space="preserve">participants deviate from rational choice theory under conditions of uncertainty.</w:t>
      </w:r>
    </w:p>
    <w:p>
      <w:pPr>
        <w:numPr>
          <w:ilvl w:val="0"/>
          <w:numId w:val="1001"/>
        </w:numPr>
        <w:pStyle w:val="Compact"/>
      </w:pPr>
      <w:r>
        <w:t xml:space="preserve">To compare the decision-making strategies of Frankfurt-based financial professionals against a control group of economics students.</w:t>
      </w:r>
    </w:p>
    <w:p>
      <w:pPr>
        <w:numPr>
          <w:ilvl w:val="0"/>
          <w:numId w:val="1001"/>
        </w:numPr>
        <w:pStyle w:val="Compact"/>
      </w:pPr>
      <w:r>
        <w:t xml:space="preserve">To assess the impact of local regulatory frameworks in</w:t>
      </w:r>
      <w:r>
        <w:t xml:space="preserve"> </w:t>
      </w:r>
      <w:r>
        <w:rPr>
          <w:bCs/>
          <w:b/>
        </w:rPr>
        <w:t xml:space="preserve">Germany Frankfurt</w:t>
      </w:r>
      <w:r>
        <w:t xml:space="preserve"> </w:t>
      </w:r>
      <w:r>
        <w:t xml:space="preserve">on risk perception and investment behavior.</w:t>
      </w:r>
    </w:p>
    <w:p>
      <w:pPr>
        <w:pStyle w:val="FirstParagraph"/>
      </w:pPr>
      <w:r>
        <w:rPr>
          <w:bCs/>
          <w:b/>
        </w:rPr>
        <w:t xml:space="preserve">Hypothesis 1:</w:t>
      </w:r>
      <w:r>
        <w:t xml:space="preserve"> </w:t>
      </w:r>
      <w:r>
        <w:t xml:space="preserve">Professional economists will exhibit lower levels of loss aversion compared to non-experts but will still demonstrate significant herd behavior during simulated market crashes.</w:t>
      </w:r>
    </w:p>
    <w:p>
      <w:pPr>
        <w:pStyle w:val="BodyText"/>
      </w:pPr>
      <w:r>
        <w:rPr>
          <w:bCs/>
          <w:b/>
        </w:rPr>
        <w:t xml:space="preserve">Hypothesis 2:</w:t>
      </w:r>
      <w:r>
        <w:t xml:space="preserve"> </w:t>
      </w:r>
      <w:r>
        <w:t xml:space="preserve">Participants located in the financial district of</w:t>
      </w:r>
      <w:r>
        <w:t xml:space="preserve"> </w:t>
      </w:r>
      <w:r>
        <w:rPr>
          <w:bCs/>
          <w:b/>
        </w:rPr>
        <w:t xml:space="preserve">Germany Frankfurt</w:t>
      </w:r>
      <w:r>
        <w:t xml:space="preserve"> </w:t>
      </w:r>
      <w:r>
        <w:t xml:space="preserve">will show higher risk tolerance due to environmental normalization of financial volatility.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controlled laboratory experiments with field surveys. The study will be conducted over a period of six months. The experimental design utilizes a between-subjects factorial design to isolate the effects of expertise and environmental cues.</w:t>
      </w:r>
    </w:p>
    <w:bookmarkEnd w:id="22"/>
    <w:bookmarkStart w:id="23" w:name="participants"/>
    <w:p>
      <w:pPr>
        <w:pStyle w:val="Heading3"/>
      </w:pPr>
      <w:r>
        <w:t xml:space="preserve">3.2 Participants</w:t>
      </w:r>
    </w:p>
    <w:p>
      <w:pPr>
        <w:pStyle w:val="FirstParagraph"/>
      </w:pPr>
      <w:r>
        <w:t xml:space="preserve">The target sample size is 300 participants, recruited specifically from</w:t>
      </w:r>
      <w:r>
        <w:t xml:space="preserve"> </w:t>
      </w:r>
      <w:r>
        <w:rPr>
          <w:bCs/>
          <w:b/>
        </w:rPr>
        <w:t xml:space="preserve">Germany Frankfurt</w:t>
      </w:r>
      <w:r>
        <w:t xml:space="preserve">. The sample will be divided into two groups:</w:t>
      </w:r>
    </w:p>
    <w:p>
      <w:pPr>
        <w:numPr>
          <w:ilvl w:val="0"/>
          <w:numId w:val="1002"/>
        </w:numPr>
        <w:pStyle w:val="Compact"/>
      </w:pPr>
      <w:r>
        <w:rPr>
          <w:bCs/>
          <w:b/>
        </w:rPr>
        <w:t xml:space="preserve">Group A (Experts):</w:t>
      </w:r>
      <w:r>
        <w:t xml:space="preserve"> </w:t>
      </w:r>
      <w:r>
        <w:t xml:space="preserve">150 professional economists, financial analysts, and portfolio managers working in Frankfurt-based institutions (e.g., Deutsche Börse, ECB, major commercial banks).</w:t>
      </w:r>
    </w:p>
    <w:p>
      <w:pPr>
        <w:numPr>
          <w:ilvl w:val="0"/>
          <w:numId w:val="1002"/>
        </w:numPr>
        <w:pStyle w:val="Compact"/>
      </w:pPr>
      <w:r>
        <w:rPr>
          <w:bCs/>
          <w:b/>
        </w:rPr>
        <w:t xml:space="preserve">Group B (Novices):</w:t>
      </w:r>
      <w:r>
        <w:t xml:space="preserve"> </w:t>
      </w:r>
      <w:r>
        <w:t xml:space="preserve">150 undergraduate and graduate students enrolled in economics programs at Frankfurt University of Applied Sciences or Goethe University Frankfurt.</w:t>
      </w:r>
    </w:p>
    <w:p>
      <w:pPr>
        <w:pStyle w:val="FirstParagraph"/>
      </w:pPr>
      <w:r>
        <w:t xml:space="preserve">Inclusion criteria require participants to be fluent in English or German and to have no prior involvement in similar behavioral finance experiments.</w:t>
      </w:r>
    </w:p>
    <w:bookmarkEnd w:id="23"/>
    <w:bookmarkStart w:id="24" w:name="procedure"/>
    <w:p>
      <w:pPr>
        <w:pStyle w:val="Heading3"/>
      </w:pPr>
      <w:r>
        <w:t xml:space="preserve">3.3 Procedure</w:t>
      </w:r>
    </w:p>
    <w:p>
      <w:pPr>
        <w:pStyle w:val="FirstParagraph"/>
      </w:pPr>
      <w:r>
        <w:t xml:space="preserve">The experiment will take place in a dedicated behavioral lab in central</w:t>
      </w:r>
      <w:r>
        <w:t xml:space="preserve"> </w:t>
      </w:r>
      <w:r>
        <w:rPr>
          <w:bCs/>
          <w:b/>
        </w:rPr>
        <w:t xml:space="preserve">Germany Frankfurt</w:t>
      </w:r>
      <w:r>
        <w:t xml:space="preserve">. Participants will be randomly assigned to one of three scenarios:</w:t>
      </w:r>
    </w:p>
    <w:p>
      <w:pPr>
        <w:numPr>
          <w:ilvl w:val="0"/>
          <w:numId w:val="1003"/>
        </w:numPr>
        <w:pStyle w:val="Compact"/>
      </w:pPr>
      <w:r>
        <w:rPr>
          <w:bCs/>
          <w:b/>
        </w:rPr>
        <w:t xml:space="preserve">Scenario 1: Stable Market.</w:t>
      </w:r>
      <w:r>
        <w:t xml:space="preserve"> </w:t>
      </w:r>
      <w:r>
        <w:t xml:space="preserve">Participants make investment decisions based on stable historical data.</w:t>
      </w:r>
    </w:p>
    <w:p>
      <w:pPr>
        <w:numPr>
          <w:ilvl w:val="0"/>
          <w:numId w:val="1003"/>
        </w:numPr>
        <w:pStyle w:val="Compact"/>
      </w:pPr>
      <w:r>
        <w:rPr>
          <w:bCs/>
          <w:b/>
        </w:rPr>
        <w:t xml:space="preserve">Scenario 2: Volatile Market.</w:t>
      </w:r>
      <w:r>
        <w:t xml:space="preserve"> </w:t>
      </w:r>
      <w:r>
        <w:t xml:space="preserve">Participants react to simulated sudden market fluctuations.</w:t>
      </w:r>
    </w:p>
    <w:p>
      <w:pPr>
        <w:numPr>
          <w:ilvl w:val="0"/>
          <w:numId w:val="1003"/>
        </w:numPr>
        <w:pStyle w:val="Compact"/>
      </w:pPr>
      <w:r>
        <w:rPr>
          <w:bCs/>
          <w:b/>
        </w:rPr>
        <w:t xml:space="preserve">Scenario 3: Information Cascade.</w:t>
      </w:r>
      <w:r>
        <w:t xml:space="preserve"> </w:t>
      </w:r>
      <w:r>
        <w:t xml:space="preserve">Participants make decisions while observing the choices of previous participants, simulating herd behavior.</w:t>
      </w:r>
    </w:p>
    <w:p>
      <w:pPr>
        <w:pStyle w:val="FirstParagraph"/>
      </w:pPr>
      <w:r>
        <w:t xml:space="preserve">Each session will last approximately 90 minutes. Participants will be compensated with a base fee plus performance-based bonuses tied to their simulated investment returns, ensuring real financial incentives.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 computerized decision logs, eye-tracking technology to measure attention allocation, and post-experiment surveys. The</w:t>
      </w:r>
      <w:r>
        <w:t xml:space="preserve"> </w:t>
      </w:r>
      <w:r>
        <w:rPr>
          <w:bCs/>
          <w:b/>
        </w:rPr>
        <w:t xml:space="preserve">Experiment Protocol</w:t>
      </w:r>
      <w:r>
        <w:t xml:space="preserve"> </w:t>
      </w:r>
      <w:r>
        <w:t xml:space="preserve">mandates strict data anonymization in compliance with the General Data Protection Regulation (GDPR), which is strictly enforced in Germany.</w:t>
      </w:r>
    </w:p>
    <w:p>
      <w:pPr>
        <w:pStyle w:val="BodyText"/>
      </w:pPr>
      <w:r>
        <w:t xml:space="preserve">Statistical analysis will be performed using regression models to test the hypotheses. We will control for variables such as age, gender, years of experience, and specific role within the financial sector. Special attention will be paid to how the unique economic climate of</w:t>
      </w:r>
      <w:r>
        <w:t xml:space="preserve"> </w:t>
      </w:r>
      <w:r>
        <w:rPr>
          <w:bCs/>
          <w:b/>
        </w:rPr>
        <w:t xml:space="preserve">Germany Frankfurt</w:t>
      </w:r>
      <w:r>
        <w:t xml:space="preserve"> </w:t>
      </w:r>
      <w:r>
        <w:t xml:space="preserve">influences the baseline risk appetite of the participants.</w:t>
      </w:r>
    </w:p>
    <w:bookmarkEnd w:id="26"/>
    <w:bookmarkStart w:id="27" w:name="ethical-considerations"/>
    <w:p>
      <w:pPr>
        <w:pStyle w:val="Heading2"/>
      </w:pPr>
      <w:r>
        <w:t xml:space="preserve">5. Ethical Considerations</w:t>
      </w:r>
    </w:p>
    <w:p>
      <w:pPr>
        <w:pStyle w:val="FirstParagraph"/>
      </w:pPr>
      <w:r>
        <w:t xml:space="preserve">This study adheres to the highest ethical standards. All participants will provide informed consent prior to enrollment. The protocol has been reviewed and approved by the local ethics committee in Frankfurt. Participants will be fully debriefed after the experiment, and they will have the right to withdraw their data at any time without penalty. Confidentiality is paramount, especially given the professional status of the</w:t>
      </w:r>
      <w:r>
        <w:t xml:space="preserve"> </w:t>
      </w:r>
      <w:r>
        <w:rPr>
          <w:bCs/>
          <w:b/>
        </w:rPr>
        <w:t xml:space="preserve">economist</w:t>
      </w:r>
      <w:r>
        <w:t xml:space="preserve"> </w:t>
      </w:r>
      <w:r>
        <w:t xml:space="preserve">participants in Group A.</w:t>
      </w:r>
    </w:p>
    <w:bookmarkEnd w:id="27"/>
    <w:bookmarkStart w:id="28" w:name="timeline-and-milestones"/>
    <w:p>
      <w:pPr>
        <w:pStyle w:val="Heading2"/>
      </w:pPr>
      <w:r>
        <w:t xml:space="preserve">6.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Recruitment and Screening in Frankfurt</w:t>
            </w:r>
          </w:p>
        </w:tc>
        <w:tc>
          <w:tcPr/>
          <w:p>
            <w:pPr>
              <w:pStyle w:val="Compact"/>
              <w:jc w:val="left"/>
            </w:pPr>
            <w:r>
              <w:t xml:space="preserve">Months 1-2</w:t>
            </w:r>
          </w:p>
        </w:tc>
      </w:tr>
      <w:tr>
        <w:tc>
          <w:tcPr/>
          <w:p>
            <w:pPr>
              <w:pStyle w:val="Compact"/>
              <w:jc w:val="left"/>
            </w:pPr>
            <w:r>
              <w:t xml:space="preserve">Phase 2</w:t>
            </w:r>
          </w:p>
        </w:tc>
        <w:tc>
          <w:tcPr/>
          <w:p>
            <w:pPr>
              <w:pStyle w:val="Compact"/>
              <w:jc w:val="left"/>
            </w:pPr>
            <w:r>
              <w:t xml:space="preserve">Conducting Laboratory Experiments</w:t>
            </w:r>
          </w:p>
        </w:tc>
        <w:tc>
          <w:tcPr/>
          <w:p>
            <w:pPr>
              <w:pStyle w:val="Compact"/>
              <w:jc w:val="left"/>
            </w:pPr>
            <w:r>
              <w:t xml:space="preserve">Months 3-4</w:t>
            </w:r>
          </w:p>
        </w:tc>
      </w:tr>
      <w:tr>
        <w:tc>
          <w:tcPr/>
          <w:p>
            <w:pPr>
              <w:pStyle w:val="Compact"/>
              <w:jc w:val="left"/>
            </w:pPr>
            <w:r>
              <w:t xml:space="preserve">Phase 3</w:t>
            </w:r>
          </w:p>
        </w:tc>
        <w:tc>
          <w:tcPr/>
          <w:p>
            <w:pPr>
              <w:pStyle w:val="Compact"/>
              <w:jc w:val="left"/>
            </w:pPr>
            <w:r>
              <w:t xml:space="preserve">Data Cleaning and Analysis</w:t>
            </w:r>
          </w:p>
        </w:tc>
        <w:tc>
          <w:tcPr/>
          <w:p>
            <w:pPr>
              <w:pStyle w:val="Compact"/>
              <w:jc w:val="left"/>
            </w:pPr>
            <w:r>
              <w:t xml:space="preserve">Month 5</w:t>
            </w:r>
          </w:p>
        </w:tc>
      </w:tr>
      <w:tr>
        <w:tc>
          <w:tcPr/>
          <w:p>
            <w:pPr>
              <w:pStyle w:val="Compact"/>
              <w:jc w:val="left"/>
            </w:pPr>
            <w:r>
              <w:t xml:space="preserve">Phase 4</w:t>
            </w:r>
          </w:p>
        </w:tc>
        <w:tc>
          <w:tcPr/>
          <w:p>
            <w:pPr>
              <w:pStyle w:val="Compact"/>
              <w:jc w:val="left"/>
            </w:pPr>
            <w:r>
              <w:t xml:space="preserve">Reporting and Publication</w:t>
            </w:r>
          </w:p>
        </w:tc>
        <w:tc>
          <w:tcPr/>
          <w:p>
            <w:pPr>
              <w:pStyle w:val="Compact"/>
              <w:jc w:val="left"/>
            </w:pPr>
            <w:r>
              <w:t xml:space="preserve">Month 6</w:t>
            </w:r>
          </w:p>
        </w:tc>
      </w:tr>
    </w:tbl>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rigorous attempt to understand the intersection of human psychology and economic theory. By focusing on the specific context of</w:t>
      </w:r>
      <w:r>
        <w:t xml:space="preserve"> </w:t>
      </w:r>
      <w:r>
        <w:rPr>
          <w:bCs/>
          <w:b/>
        </w:rPr>
        <w:t xml:space="preserve">Germany Frankfurt</w:t>
      </w:r>
      <w:r>
        <w:t xml:space="preserve"> </w:t>
      </w:r>
      <w:r>
        <w:t xml:space="preserve">and involving both expert and novice</w:t>
      </w:r>
      <w:r>
        <w:t xml:space="preserve"> </w:t>
      </w:r>
      <w:r>
        <w:rPr>
          <w:bCs/>
          <w:b/>
        </w:rPr>
        <w:t xml:space="preserve">economist</w:t>
      </w:r>
      <w:r>
        <w:t xml:space="preserve"> </w:t>
      </w:r>
      <w:r>
        <w:t xml:space="preserve">participants, the study promises to yield valuable insights into the mechanisms driving financial markets. The findings will not only advance academic knowledge but also offer practical implications for regulators and financial institutions operating in one of the world's most critical economic zones.</w:t>
      </w:r>
    </w:p>
    <w:p>
      <w:pPr>
        <w:pStyle w:val="BodyText"/>
      </w:pPr>
      <w:r>
        <w:t xml:space="preserve">© 2024 Institute for Economic Research, Frankfurt am Main. All rights reserved.</w:t>
      </w:r>
    </w:p>
    <w:p>
      <w:pPr>
        <w:pStyle w:val="BodyText"/>
      </w:pPr>
      <w:r>
        <w:t xml:space="preserve">Document Version: 1.0 |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Frankfurt</dc:title>
  <dc:creator/>
  <dc:language>en</dc:language>
  <cp:keywords/>
  <dcterms:created xsi:type="dcterms:W3CDTF">2026-10-10T06:16:51Z</dcterms:created>
  <dcterms:modified xsi:type="dcterms:W3CDTF">2026-10-10T06:16:51Z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