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Urban</w:t>
      </w:r>
      <w:r>
        <w:t xml:space="preserve"> </w:t>
      </w:r>
      <w:r>
        <w:t xml:space="preserve">India</w:t>
      </w:r>
    </w:p>
    <w:bookmarkStart w:id="34" w:name="X64a5a1c57eec8d90685fdf7cfe141acc49750b2"/>
    <w:p>
      <w:pPr>
        <w:pStyle w:val="Heading1"/>
      </w:pPr>
      <w:r>
        <w:t xml:space="preserve">Experiment Protocol: Behavioral Decision-Making in Urban Financial Markets</w:t>
      </w:r>
    </w:p>
    <w:p>
      <w:pPr>
        <w:pStyle w:val="FirstParagraph"/>
      </w:pPr>
      <w:r>
        <w:rPr>
          <w:bCs/>
          <w:b/>
        </w:rPr>
        <w:t xml:space="preserve">Protocol ID:</w:t>
      </w:r>
      <w:r>
        <w:t xml:space="preserve"> </w:t>
      </w:r>
      <w:r>
        <w:t xml:space="preserve">BE-IND-BLR-2024-001</w:t>
      </w:r>
    </w:p>
    <w:p>
      <w:pPr>
        <w:pStyle w:val="BodyText"/>
      </w:pPr>
      <w:r>
        <w:rPr>
          <w:bCs/>
          <w:b/>
        </w:rPr>
        <w:t xml:space="preserve">Principal Investigator:</w:t>
      </w:r>
      <w:r>
        <w:t xml:space="preserve"> </w:t>
      </w:r>
      <w:r>
        <w:t xml:space="preserve">Lead Economist, Institute for Development Studies</w:t>
      </w:r>
    </w:p>
    <w:p>
      <w:pPr>
        <w:pStyle w:val="BodyText"/>
      </w:pPr>
      <w:r>
        <w:rPr>
          <w:bCs/>
          <w:b/>
        </w:rPr>
        <w:t xml:space="preserve">Location:</w:t>
      </w:r>
      <w:r>
        <w:t xml:space="preserve"> </w:t>
      </w:r>
      <w:r>
        <w:t xml:space="preserve">India Bangalore</w:t>
      </w:r>
      <w:r>
        <w:t xml:space="preserve"> </w:t>
      </w:r>
      <w:r>
        <w:t xml:space="preserve">(Karnataka)</w:t>
      </w:r>
    </w:p>
    <w:p>
      <w:pPr>
        <w:pStyle w:val="BodyText"/>
      </w:pPr>
      <w:r>
        <w:rPr>
          <w:bCs/>
          <w:b/>
        </w:rPr>
        <w:t xml:space="preserve">Date of Issue:</w:t>
      </w:r>
      <w:r>
        <w:t xml:space="preserve"> </w:t>
      </w:r>
      <w:r>
        <w:t xml:space="preserve">October 24, 2023</w:t>
      </w:r>
    </w:p>
    <w:p>
      <w:pPr>
        <w:pStyle w:val="BodyText"/>
      </w:pPr>
      <w:r>
        <w:rPr>
          <w:bCs/>
          <w:b/>
        </w:rPr>
        <w:t xml:space="preserve">Status:</w:t>
      </w:r>
      <w:r>
        <w:t xml:space="preserve"> </w:t>
      </w:r>
      <w:r>
        <w:t xml:space="preserve">Approved for Field Implementation</w:t>
      </w:r>
    </w:p>
    <w:bookmarkStart w:id="20" w:name="introduction-and-rationale"/>
    <w:p>
      <w:pPr>
        <w:pStyle w:val="Heading2"/>
      </w:pPr>
      <w:r>
        <w:t xml:space="preserve">1. Introduction and Rationale</w:t>
      </w:r>
    </w:p>
    <w:p>
      <w:pPr>
        <w:pStyle w:val="FirstParagraph"/>
      </w:pPr>
      <w:r>
        <w:t xml:space="preserve">This</w:t>
      </w:r>
      <w:r>
        <w:t xml:space="preserve"> </w:t>
      </w:r>
      <w:r>
        <w:rPr>
          <w:bCs/>
          <w:b/>
        </w:rPr>
        <w:t xml:space="preserve">Experiment Protocol</w:t>
      </w:r>
      <w:r>
        <w:t xml:space="preserve"> </w:t>
      </w:r>
      <w:r>
        <w:t xml:space="preserve">outlines the methodology for a field study designed to analyze the behavioral patterns of micro-entrepreneurs and gig-economy workers regarding financial risk and savings. The study is conducted by a team of professional</w:t>
      </w:r>
      <w:r>
        <w:t xml:space="preserve"> </w:t>
      </w:r>
      <w:r>
        <w:rPr>
          <w:bCs/>
          <w:b/>
        </w:rPr>
        <w:t xml:space="preserve">Economist</w:t>
      </w:r>
      <w:r>
        <w:t xml:space="preserve"> </w:t>
      </w:r>
      <w:r>
        <w:t xml:space="preserve">researchers focusing on development economics and behavioral finance. The primary objective is to understand how cognitive biases influence financial decision-making in rapidly urbanizing environments.</w:t>
      </w:r>
    </w:p>
    <w:p>
      <w:pPr>
        <w:pStyle w:val="BodyText"/>
      </w:pPr>
      <w:r>
        <w:t xml:space="preserve">The study is specifically situated in</w:t>
      </w:r>
      <w:r>
        <w:t xml:space="preserve"> </w:t>
      </w:r>
      <w:r>
        <w:rPr>
          <w:bCs/>
          <w:b/>
        </w:rPr>
        <w:t xml:space="preserve">India Bangalore</w:t>
      </w:r>
      <w:r>
        <w:t xml:space="preserve">, a city characterized by its unique dual economy. Bangalore serves as the "Silicon Valley of India," hosting high-tech multinational corporations, while simultaneously maintaining a vast informal sector. This juxtaposition provides a critical testing ground for economic theories that often assume rational actors. By observing participants in this specific geographic and cultural context, the</w:t>
      </w:r>
      <w:r>
        <w:t xml:space="preserve"> </w:t>
      </w:r>
      <w:r>
        <w:rPr>
          <w:bCs/>
          <w:b/>
        </w:rPr>
        <w:t xml:space="preserve">Economist</w:t>
      </w:r>
      <w:r>
        <w:t xml:space="preserve"> </w:t>
      </w:r>
      <w:r>
        <w:t xml:space="preserve">team aims to generate data that challenges traditional models of utility maximization.</w:t>
      </w:r>
    </w:p>
    <w:bookmarkEnd w:id="20"/>
    <w:bookmarkStart w:id="21" w:name="objectives"/>
    <w:p>
      <w:pPr>
        <w:pStyle w:val="Heading2"/>
      </w:pPr>
      <w:r>
        <w:t xml:space="preserve">2. Objectives</w:t>
      </w:r>
    </w:p>
    <w:p>
      <w:pPr>
        <w:pStyle w:val="FirstParagraph"/>
      </w:pPr>
      <w:r>
        <w:t xml:space="preserve">The primary goals of this</w:t>
      </w:r>
      <w:r>
        <w:t xml:space="preserve"> </w:t>
      </w:r>
      <w:r>
        <w:rPr>
          <w:bCs/>
          <w:b/>
        </w:rPr>
        <w:t xml:space="preserve">Experiment Protocol</w:t>
      </w:r>
      <w:r>
        <w:t xml:space="preserve"> </w:t>
      </w:r>
      <w:r>
        <w:t xml:space="preserve">are as follows:</w:t>
      </w:r>
    </w:p>
    <w:p>
      <w:pPr>
        <w:numPr>
          <w:ilvl w:val="0"/>
          <w:numId w:val="1001"/>
        </w:numPr>
        <w:pStyle w:val="Compact"/>
      </w:pPr>
      <w:r>
        <w:t xml:space="preserve">To measure the impact of "nudge" interventions on savings rates among low-income households in</w:t>
      </w:r>
      <w:r>
        <w:t xml:space="preserve"> </w:t>
      </w:r>
      <w:r>
        <w:rPr>
          <w:bCs/>
          <w:b/>
        </w:rPr>
        <w:t xml:space="preserve">India Bangalore</w:t>
      </w:r>
      <w:r>
        <w:t xml:space="preserve">.</w:t>
      </w:r>
    </w:p>
    <w:p>
      <w:pPr>
        <w:numPr>
          <w:ilvl w:val="0"/>
          <w:numId w:val="1001"/>
        </w:numPr>
        <w:pStyle w:val="Compact"/>
      </w:pPr>
      <w:r>
        <w:t xml:space="preserve">To assess risk aversion levels in the gig economy sector (e.g., ride-sharing drivers, delivery partners) compared to traditional retail workers.</w:t>
      </w:r>
    </w:p>
    <w:p>
      <w:pPr>
        <w:numPr>
          <w:ilvl w:val="0"/>
          <w:numId w:val="1001"/>
        </w:numPr>
        <w:pStyle w:val="Compact"/>
      </w:pPr>
      <w:r>
        <w:t xml:space="preserve">To evaluate the efficacy of digital financial literacy tools provided by the</w:t>
      </w:r>
      <w:r>
        <w:t xml:space="preserve"> </w:t>
      </w:r>
      <w:r>
        <w:rPr>
          <w:bCs/>
          <w:b/>
        </w:rPr>
        <w:t xml:space="preserve">Economist</w:t>
      </w:r>
      <w:r>
        <w:t xml:space="preserve"> </w:t>
      </w:r>
      <w:r>
        <w:t xml:space="preserve">research team.</w:t>
      </w:r>
    </w:p>
    <w:p>
      <w:pPr>
        <w:numPr>
          <w:ilvl w:val="0"/>
          <w:numId w:val="1001"/>
        </w:numPr>
        <w:pStyle w:val="Compact"/>
      </w:pPr>
      <w:r>
        <w:t xml:space="preserve">To contribute to the broader understanding of how urbanization affects economic behavior in emerging markets.</w:t>
      </w:r>
    </w:p>
    <w:bookmarkEnd w:id="21"/>
    <w:bookmarkStart w:id="24" w:name="study-design-and-methodology"/>
    <w:p>
      <w:pPr>
        <w:pStyle w:val="Heading2"/>
      </w:pPr>
      <w:r>
        <w:t xml:space="preserve">3. Study Design and Methodology</w:t>
      </w:r>
    </w:p>
    <w:p>
      <w:pPr>
        <w:pStyle w:val="FirstParagraph"/>
      </w:pPr>
      <w:r>
        <w:t xml:space="preserve">This study employs a Randomized Controlled Trial (RCT) design, a gold standard in modern economic experimentation. The</w:t>
      </w:r>
      <w:r>
        <w:t xml:space="preserve"> </w:t>
      </w:r>
      <w:r>
        <w:rPr>
          <w:bCs/>
          <w:b/>
        </w:rPr>
        <w:t xml:space="preserve">Economist</w:t>
      </w:r>
      <w:r>
        <w:t xml:space="preserve"> </w:t>
      </w:r>
      <w:r>
        <w:t xml:space="preserve">team will recruit 1,200 participants across three distinct zones in</w:t>
      </w:r>
      <w:r>
        <w:t xml:space="preserve"> </w:t>
      </w:r>
      <w:r>
        <w:rPr>
          <w:bCs/>
          <w:b/>
        </w:rPr>
        <w:t xml:space="preserve">India Bangalore</w:t>
      </w:r>
      <w:r>
        <w:t xml:space="preserve">: the tech-centric Whitefield area, the commercial hub of MG Road, and the residential outskirts of Yelahanka.</w:t>
      </w:r>
    </w:p>
    <w:bookmarkStart w:id="22" w:name="participant-selection"/>
    <w:p>
      <w:pPr>
        <w:pStyle w:val="Heading3"/>
      </w:pPr>
      <w:r>
        <w:t xml:space="preserve">3.1 Participant Selection</w:t>
      </w:r>
    </w:p>
    <w:p>
      <w:pPr>
        <w:pStyle w:val="FirstParagraph"/>
      </w:pPr>
      <w:r>
        <w:t xml:space="preserve">Participants must be aged 18–55, residing in</w:t>
      </w:r>
      <w:r>
        <w:t xml:space="preserve"> </w:t>
      </w:r>
      <w:r>
        <w:rPr>
          <w:bCs/>
          <w:b/>
        </w:rPr>
        <w:t xml:space="preserve">India Bangalore</w:t>
      </w:r>
      <w:r>
        <w:t xml:space="preserve"> </w:t>
      </w:r>
      <w:r>
        <w:t xml:space="preserve">for at least two years, and earning an income between ₹15,000 and ₹40,000 per month. Exclusion criteria include current employment with financial institutions or prior participation in similar studies.</w:t>
      </w:r>
    </w:p>
    <w:bookmarkEnd w:id="22"/>
    <w:bookmarkStart w:id="23" w:name="experimental-arms"/>
    <w:p>
      <w:pPr>
        <w:pStyle w:val="Heading3"/>
      </w:pPr>
      <w:r>
        <w:t xml:space="preserve">3.2 Experimental Arms</w:t>
      </w:r>
    </w:p>
    <w:p>
      <w:pPr>
        <w:pStyle w:val="FirstParagraph"/>
      </w:pPr>
      <w:r>
        <w:t xml:space="preserve">Participants will be randomly assigned to one of three groups:</w:t>
      </w:r>
    </w:p>
    <w:p>
      <w:pPr>
        <w:numPr>
          <w:ilvl w:val="0"/>
          <w:numId w:val="1002"/>
        </w:numPr>
        <w:pStyle w:val="Compact"/>
      </w:pPr>
      <w:r>
        <w:rPr>
          <w:bCs/>
          <w:b/>
        </w:rPr>
        <w:t xml:space="preserve">Control Group:</w:t>
      </w:r>
      <w:r>
        <w:t xml:space="preserve"> </w:t>
      </w:r>
      <w:r>
        <w:t xml:space="preserve">Receives standard financial information pamphlets.</w:t>
      </w:r>
    </w:p>
    <w:p>
      <w:pPr>
        <w:numPr>
          <w:ilvl w:val="0"/>
          <w:numId w:val="1002"/>
        </w:numPr>
        <w:pStyle w:val="Compact"/>
      </w:pPr>
      <w:r>
        <w:rPr>
          <w:bCs/>
          <w:b/>
        </w:rPr>
        <w:t xml:space="preserve">Treatment Group A (Commitment Devices):</w:t>
      </w:r>
      <w:r>
        <w:t xml:space="preserve"> </w:t>
      </w:r>
      <w:r>
        <w:t xml:space="preserve">Provided with a digital savings app that locks funds for a set period, designed by the</w:t>
      </w:r>
      <w:r>
        <w:t xml:space="preserve"> </w:t>
      </w:r>
      <w:r>
        <w:rPr>
          <w:bCs/>
          <w:b/>
        </w:rPr>
        <w:t xml:space="preserve">Economist</w:t>
      </w:r>
      <w:r>
        <w:t xml:space="preserve"> </w:t>
      </w:r>
      <w:r>
        <w:t xml:space="preserve">team to reduce temptation spending.</w:t>
      </w:r>
    </w:p>
    <w:p>
      <w:pPr>
        <w:numPr>
          <w:ilvl w:val="0"/>
          <w:numId w:val="1002"/>
        </w:numPr>
        <w:pStyle w:val="Compact"/>
      </w:pPr>
      <w:r>
        <w:rPr>
          <w:bCs/>
          <w:b/>
        </w:rPr>
        <w:t xml:space="preserve">Treatment Group B (Social Norms):</w:t>
      </w:r>
      <w:r>
        <w:t xml:space="preserve"> </w:t>
      </w:r>
      <w:r>
        <w:t xml:space="preserve">Receives periodic SMS updates showing the average savings rate of their peers in</w:t>
      </w:r>
      <w:r>
        <w:t xml:space="preserve"> </w:t>
      </w:r>
      <w:r>
        <w:rPr>
          <w:bCs/>
          <w:b/>
        </w:rPr>
        <w:t xml:space="preserve">India Bangalore</w:t>
      </w:r>
      <w:r>
        <w:t xml:space="preserve">, leveraging social pressure to encourage saving.</w:t>
      </w:r>
    </w:p>
    <w:bookmarkEnd w:id="23"/>
    <w:bookmarkEnd w:id="24"/>
    <w:bookmarkStart w:id="29" w:name="implementation-procedures"/>
    <w:p>
      <w:pPr>
        <w:pStyle w:val="Heading2"/>
      </w:pPr>
      <w:r>
        <w:t xml:space="preserve">4. Implementation Procedures</w:t>
      </w:r>
    </w:p>
    <w:p>
      <w:pPr>
        <w:pStyle w:val="FirstParagraph"/>
      </w:pPr>
      <w:r>
        <w:t xml:space="preserve">The execution of this</w:t>
      </w:r>
      <w:r>
        <w:t xml:space="preserve"> </w:t>
      </w:r>
      <w:r>
        <w:rPr>
          <w:bCs/>
          <w:b/>
        </w:rPr>
        <w:t xml:space="preserve">Experiment Protocol</w:t>
      </w:r>
      <w:r>
        <w:t xml:space="preserve"> </w:t>
      </w:r>
      <w:r>
        <w:t xml:space="preserve">requires strict adherence to the following steps to ensure data integrity.</w:t>
      </w:r>
    </w:p>
    <w:bookmarkStart w:id="25" w:name="recruitment-phase"/>
    <w:p>
      <w:pPr>
        <w:pStyle w:val="Heading3"/>
      </w:pPr>
      <w:r>
        <w:t xml:space="preserve">4.1 Recruitment Phase</w:t>
      </w:r>
    </w:p>
    <w:p>
      <w:pPr>
        <w:pStyle w:val="FirstParagraph"/>
      </w:pPr>
      <w:r>
        <w:t xml:space="preserve">Field researchers will conduct recruitment drives in local markets and co-working spaces in</w:t>
      </w:r>
      <w:r>
        <w:t xml:space="preserve"> </w:t>
      </w:r>
      <w:r>
        <w:rPr>
          <w:bCs/>
          <w:b/>
        </w:rPr>
        <w:t xml:space="preserve">India Bangalore</w:t>
      </w:r>
      <w:r>
        <w:t xml:space="preserve">. Informed consent forms will be provided in English, Kannada, and Hindi. The</w:t>
      </w:r>
      <w:r>
        <w:t xml:space="preserve"> </w:t>
      </w:r>
      <w:r>
        <w:rPr>
          <w:bCs/>
          <w:b/>
        </w:rPr>
        <w:t xml:space="preserve">Economist</w:t>
      </w:r>
      <w:r>
        <w:t xml:space="preserve"> </w:t>
      </w:r>
      <w:r>
        <w:t xml:space="preserve">principal investigator will oversee the training of field staff to ensure unbiased recruitment.</w:t>
      </w:r>
    </w:p>
    <w:bookmarkEnd w:id="25"/>
    <w:bookmarkStart w:id="26" w:name="baseline-survey"/>
    <w:p>
      <w:pPr>
        <w:pStyle w:val="Heading3"/>
      </w:pPr>
      <w:r>
        <w:t xml:space="preserve">4.2 Baseline Survey</w:t>
      </w:r>
    </w:p>
    <w:p>
      <w:pPr>
        <w:pStyle w:val="FirstParagraph"/>
      </w:pPr>
      <w:r>
        <w:t xml:space="preserve">Before the intervention begins, all participants will undergo a comprehensive baseline survey. This survey collects data on income, expenditure, existing savings, risk tolerance, and demographic information. This step is crucial for the</w:t>
      </w:r>
      <w:r>
        <w:t xml:space="preserve"> </w:t>
      </w:r>
      <w:r>
        <w:rPr>
          <w:bCs/>
          <w:b/>
        </w:rPr>
        <w:t xml:space="preserve">Economist</w:t>
      </w:r>
      <w:r>
        <w:t xml:space="preserve"> </w:t>
      </w:r>
      <w:r>
        <w:t xml:space="preserve">team to establish a control baseline for comparison.</w:t>
      </w:r>
    </w:p>
    <w:bookmarkEnd w:id="26"/>
    <w:bookmarkStart w:id="27" w:name="intervention-phase"/>
    <w:p>
      <w:pPr>
        <w:pStyle w:val="Heading3"/>
      </w:pPr>
      <w:r>
        <w:t xml:space="preserve">4.3 Intervention Phase</w:t>
      </w:r>
    </w:p>
    <w:p>
      <w:pPr>
        <w:pStyle w:val="FirstParagraph"/>
      </w:pPr>
      <w:r>
        <w:t xml:space="preserve">The intervention will run for six months. During this period, the</w:t>
      </w:r>
      <w:r>
        <w:t xml:space="preserve"> </w:t>
      </w:r>
      <w:r>
        <w:rPr>
          <w:bCs/>
          <w:b/>
        </w:rPr>
        <w:t xml:space="preserve">Economist</w:t>
      </w:r>
      <w:r>
        <w:t xml:space="preserve"> </w:t>
      </w:r>
      <w:r>
        <w:t xml:space="preserve">team will monitor the usage of the digital tools in Treatment Group A and the engagement with SMS campaigns in Treatment Group B. Any technical issues specific to the digital infrastructure in</w:t>
      </w:r>
      <w:r>
        <w:t xml:space="preserve"> </w:t>
      </w:r>
      <w:r>
        <w:rPr>
          <w:bCs/>
          <w:b/>
        </w:rPr>
        <w:t xml:space="preserve">India Bangalore</w:t>
      </w:r>
      <w:r>
        <w:t xml:space="preserve"> </w:t>
      </w:r>
      <w:r>
        <w:t xml:space="preserve">will be documented and addressed immediately.</w:t>
      </w:r>
    </w:p>
    <w:bookmarkEnd w:id="27"/>
    <w:bookmarkStart w:id="28" w:name="endline-survey"/>
    <w:p>
      <w:pPr>
        <w:pStyle w:val="Heading3"/>
      </w:pPr>
      <w:r>
        <w:t xml:space="preserve">4.4 Endline Survey</w:t>
      </w:r>
    </w:p>
    <w:p>
      <w:pPr>
        <w:pStyle w:val="FirstParagraph"/>
      </w:pPr>
      <w:r>
        <w:t xml:space="preserve">At the conclusion of the six-month period, an endline survey will be conducted. This survey mirrors the baseline survey to measure changes in financial behavior. Participants will also be asked about their satisfaction with the interventions.</w:t>
      </w:r>
    </w:p>
    <w:bookmarkEnd w:id="28"/>
    <w:bookmarkEnd w:id="29"/>
    <w:bookmarkStart w:id="30" w:name="data-analysis-plan"/>
    <w:p>
      <w:pPr>
        <w:pStyle w:val="Heading2"/>
      </w:pPr>
      <w:r>
        <w:t xml:space="preserve">5. Data Analysis Plan</w:t>
      </w:r>
    </w:p>
    <w:p>
      <w:pPr>
        <w:pStyle w:val="FirstParagraph"/>
      </w:pPr>
      <w:r>
        <w:t xml:space="preserve">The data collected will be analyzed using advanced econometric techniques. The</w:t>
      </w:r>
      <w:r>
        <w:t xml:space="preserve"> </w:t>
      </w:r>
      <w:r>
        <w:rPr>
          <w:bCs/>
          <w:b/>
        </w:rPr>
        <w:t xml:space="preserve">Economist</w:t>
      </w:r>
      <w:r>
        <w:t xml:space="preserve"> </w:t>
      </w:r>
      <w:r>
        <w:t xml:space="preserve">team will employ Difference-in-Differences (DiD) models to compare the changes in savings rates between the treatment groups and the control group. Regression analysis will be used to control for confounding variables such as age, education, and specific neighborhood effects within</w:t>
      </w:r>
      <w:r>
        <w:t xml:space="preserve"> </w:t>
      </w:r>
      <w:r>
        <w:rPr>
          <w:bCs/>
          <w:b/>
        </w:rPr>
        <w:t xml:space="preserve">India Bangalore</w:t>
      </w:r>
      <w:r>
        <w:t xml:space="preserve">.</w:t>
      </w:r>
    </w:p>
    <w:p>
      <w:pPr>
        <w:pStyle w:val="BodyText"/>
      </w:pPr>
      <w:r>
        <w:t xml:space="preserve">Special attention will be paid to heterogeneity of treatment effects. For instance, the team will investigate whether the interventions are more effective for women than men, or for gig workers versus retail employees.</w:t>
      </w:r>
    </w:p>
    <w:bookmarkEnd w:id="30"/>
    <w:bookmarkStart w:id="31" w:name="ethical-considerations"/>
    <w:p>
      <w:pPr>
        <w:pStyle w:val="Heading2"/>
      </w:pPr>
      <w:r>
        <w:t xml:space="preserve">6. Ethical Considerations</w:t>
      </w:r>
    </w:p>
    <w:p>
      <w:pPr>
        <w:pStyle w:val="FirstParagraph"/>
      </w:pPr>
      <w:r>
        <w:t xml:space="preserve">This</w:t>
      </w:r>
      <w:r>
        <w:t xml:space="preserve"> </w:t>
      </w:r>
      <w:r>
        <w:rPr>
          <w:bCs/>
          <w:b/>
        </w:rPr>
        <w:t xml:space="preserve">Experiment Protocol</w:t>
      </w:r>
      <w:r>
        <w:t xml:space="preserve"> </w:t>
      </w:r>
      <w:r>
        <w:t xml:space="preserve">has been reviewed and approved by the Institutional Ethics Committee. Key ethical principles include:</w:t>
      </w:r>
    </w:p>
    <w:p>
      <w:pPr>
        <w:numPr>
          <w:ilvl w:val="0"/>
          <w:numId w:val="1003"/>
        </w:numPr>
        <w:pStyle w:val="Compact"/>
      </w:pPr>
      <w:r>
        <w:rPr>
          <w:bCs/>
          <w:b/>
        </w:rPr>
        <w:t xml:space="preserve">Informed Consent:</w:t>
      </w:r>
      <w:r>
        <w:t xml:space="preserve"> </w:t>
      </w:r>
      <w:r>
        <w:t xml:space="preserve">All participants must voluntarily agree to participate after understanding the study's purpose.</w:t>
      </w:r>
    </w:p>
    <w:p>
      <w:pPr>
        <w:numPr>
          <w:ilvl w:val="0"/>
          <w:numId w:val="1003"/>
        </w:numPr>
        <w:pStyle w:val="Compact"/>
      </w:pPr>
      <w:r>
        <w:rPr>
          <w:bCs/>
          <w:b/>
        </w:rPr>
        <w:t xml:space="preserve">Confidentiality:</w:t>
      </w:r>
      <w:r>
        <w:t xml:space="preserve"> </w:t>
      </w:r>
      <w:r>
        <w:t xml:space="preserve">All personal data will be anonymized and stored securely. No individual data will be shared with third parties.</w:t>
      </w:r>
    </w:p>
    <w:p>
      <w:pPr>
        <w:numPr>
          <w:ilvl w:val="0"/>
          <w:numId w:val="1003"/>
        </w:numPr>
        <w:pStyle w:val="Compact"/>
      </w:pPr>
      <w:r>
        <w:rPr>
          <w:bCs/>
          <w:b/>
        </w:rPr>
        <w:t xml:space="preserve">Compensation:</w:t>
      </w:r>
      <w:r>
        <w:t xml:space="preserve"> </w:t>
      </w:r>
      <w:r>
        <w:t xml:space="preserve">Participants will receive a modest stipend for their time, ensuring that the compensation does not constitute undue inducement.</w:t>
      </w:r>
    </w:p>
    <w:p>
      <w:pPr>
        <w:numPr>
          <w:ilvl w:val="0"/>
          <w:numId w:val="1003"/>
        </w:numPr>
        <w:pStyle w:val="Compact"/>
      </w:pPr>
      <w:r>
        <w:rPr>
          <w:bCs/>
          <w:b/>
        </w:rPr>
        <w:t xml:space="preserve">Debriefing:</w:t>
      </w:r>
      <w:r>
        <w:t xml:space="preserve"> </w:t>
      </w:r>
      <w:r>
        <w:t xml:space="preserve">Upon completion, all participants will be fully debriefed about the study's findings and the role of the</w:t>
      </w:r>
      <w:r>
        <w:t xml:space="preserve"> </w:t>
      </w:r>
      <w:r>
        <w:rPr>
          <w:bCs/>
          <w:b/>
        </w:rPr>
        <w:t xml:space="preserve">Economist</w:t>
      </w:r>
      <w:r>
        <w:t xml:space="preserve"> </w:t>
      </w:r>
      <w:r>
        <w:t xml:space="preserve">researchers.</w:t>
      </w:r>
    </w:p>
    <w:bookmarkEnd w:id="31"/>
    <w:bookmarkStart w:id="32" w:name="risk-management"/>
    <w:p>
      <w:pPr>
        <w:pStyle w:val="Heading2"/>
      </w:pPr>
      <w:r>
        <w:t xml:space="preserve">7. Risk Management</w:t>
      </w:r>
    </w:p>
    <w:p>
      <w:pPr>
        <w:pStyle w:val="FirstParagraph"/>
      </w:pPr>
      <w:r>
        <w:t xml:space="preserve">Potential risks include data breaches, participant dropout, and logistical challenges in</w:t>
      </w:r>
      <w:r>
        <w:t xml:space="preserve"> </w:t>
      </w:r>
      <w:r>
        <w:rPr>
          <w:bCs/>
          <w:b/>
        </w:rPr>
        <w:t xml:space="preserve">India Bangalore</w:t>
      </w:r>
      <w:r>
        <w:t xml:space="preserve"> </w:t>
      </w:r>
      <w:r>
        <w:t xml:space="preserve">due to traffic or weather. The</w:t>
      </w:r>
      <w:r>
        <w:t xml:space="preserve"> </w:t>
      </w:r>
      <w:r>
        <w:rPr>
          <w:bCs/>
          <w:b/>
        </w:rPr>
        <w:t xml:space="preserve">Economist</w:t>
      </w:r>
      <w:r>
        <w:t xml:space="preserve"> </w:t>
      </w:r>
      <w:r>
        <w:t xml:space="preserve">team has developed contingency plans, including encrypted data storage, follow-up protocols for dropouts, and flexible scheduling for field visits.</w:t>
      </w:r>
    </w:p>
    <w:bookmarkEnd w:id="32"/>
    <w:bookmarkStart w:id="33" w:name="conclusion"/>
    <w:p>
      <w:pPr>
        <w:pStyle w:val="Heading2"/>
      </w:pPr>
      <w:r>
        <w:t xml:space="preserve">8. Conclusion</w:t>
      </w:r>
    </w:p>
    <w:p>
      <w:pPr>
        <w:pStyle w:val="FirstParagraph"/>
      </w:pPr>
      <w:r>
        <w:t xml:space="preserve">This</w:t>
      </w:r>
      <w:r>
        <w:t xml:space="preserve"> </w:t>
      </w:r>
      <w:r>
        <w:rPr>
          <w:bCs/>
          <w:b/>
        </w:rPr>
        <w:t xml:space="preserve">Experiment Protocol</w:t>
      </w:r>
      <w:r>
        <w:t xml:space="preserve"> </w:t>
      </w:r>
      <w:r>
        <w:t xml:space="preserve">represents a rigorous attempt to apply behavioral economic principles in a real-world setting. By focusing on</w:t>
      </w:r>
      <w:r>
        <w:t xml:space="preserve"> </w:t>
      </w:r>
      <w:r>
        <w:rPr>
          <w:bCs/>
          <w:b/>
        </w:rPr>
        <w:t xml:space="preserve">India Bangalore</w:t>
      </w:r>
      <w:r>
        <w:t xml:space="preserve">, the study aims to provide actionable insights for policymakers and financial institutions. The findings will contribute to the global body of knowledge generated by the</w:t>
      </w:r>
      <w:r>
        <w:t xml:space="preserve"> </w:t>
      </w:r>
      <w:r>
        <w:rPr>
          <w:bCs/>
          <w:b/>
        </w:rPr>
        <w:t xml:space="preserve">Economist</w:t>
      </w:r>
      <w:r>
        <w:t xml:space="preserve"> </w:t>
      </w:r>
      <w:r>
        <w:t xml:space="preserve">community, highlighting the importance of context-specific interventions in development economics.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Section</w:t>
            </w:r>
          </w:p>
        </w:tc>
        <w:tc>
          <w:tcPr/>
          <w:p>
            <w:pPr>
              <w:pStyle w:val="Compact"/>
              <w:jc w:val="left"/>
            </w:pPr>
            <w:r>
              <w:t xml:space="preserve">Responsible Party</w:t>
            </w:r>
          </w:p>
        </w:tc>
        <w:tc>
          <w:tcPr/>
          <w:p>
            <w:pPr>
              <w:pStyle w:val="Compact"/>
              <w:jc w:val="left"/>
            </w:pPr>
            <w:r>
              <w:t xml:space="preserve">Timeline</w:t>
            </w:r>
          </w:p>
        </w:tc>
      </w:tr>
      <w:tr>
        <w:tc>
          <w:tcPr/>
          <w:p>
            <w:pPr>
              <w:pStyle w:val="Compact"/>
              <w:jc w:val="left"/>
            </w:pPr>
            <w:r>
              <w:t xml:space="preserve">Recruitment</w:t>
            </w:r>
          </w:p>
        </w:tc>
        <w:tc>
          <w:tcPr/>
          <w:p>
            <w:pPr>
              <w:pStyle w:val="Compact"/>
              <w:jc w:val="left"/>
            </w:pPr>
            <w:r>
              <w:t xml:space="preserve">Field Team</w:t>
            </w:r>
          </w:p>
        </w:tc>
        <w:tc>
          <w:tcPr/>
          <w:p>
            <w:pPr>
              <w:pStyle w:val="Compact"/>
              <w:jc w:val="left"/>
            </w:pPr>
            <w:r>
              <w:t xml:space="preserve">Weeks 1-4</w:t>
            </w:r>
          </w:p>
        </w:tc>
      </w:tr>
      <w:tr>
        <w:tc>
          <w:tcPr/>
          <w:p>
            <w:pPr>
              <w:pStyle w:val="Compact"/>
              <w:jc w:val="left"/>
            </w:pPr>
            <w:r>
              <w:t xml:space="preserve">Baseline Survey</w:t>
            </w:r>
          </w:p>
        </w:tc>
        <w:tc>
          <w:tcPr/>
          <w:p>
            <w:pPr>
              <w:pStyle w:val="Compact"/>
              <w:jc w:val="left"/>
            </w:pPr>
            <w:r>
              <w:t xml:space="preserve">Data Collectors</w:t>
            </w:r>
          </w:p>
        </w:tc>
        <w:tc>
          <w:tcPr/>
          <w:p>
            <w:pPr>
              <w:pStyle w:val="Compact"/>
              <w:jc w:val="left"/>
            </w:pPr>
            <w:r>
              <w:t xml:space="preserve">Weeks 5-8</w:t>
            </w:r>
          </w:p>
        </w:tc>
      </w:tr>
      <w:tr>
        <w:tc>
          <w:tcPr/>
          <w:p>
            <w:pPr>
              <w:pStyle w:val="Compact"/>
              <w:jc w:val="left"/>
            </w:pPr>
            <w:r>
              <w:t xml:space="preserve">Intervention</w:t>
            </w:r>
          </w:p>
        </w:tc>
        <w:tc>
          <w:tcPr/>
          <w:p>
            <w:pPr>
              <w:pStyle w:val="Compact"/>
              <w:jc w:val="left"/>
            </w:pPr>
            <w:r>
              <w:rPr>
                <w:bCs/>
                <w:b/>
              </w:rPr>
              <w:t xml:space="preserve">Economist</w:t>
            </w:r>
            <w:r>
              <w:t xml:space="preserve"> </w:t>
            </w:r>
            <w:r>
              <w:t xml:space="preserve">Team</w:t>
            </w:r>
          </w:p>
        </w:tc>
        <w:tc>
          <w:tcPr/>
          <w:p>
            <w:pPr>
              <w:pStyle w:val="Compact"/>
              <w:jc w:val="left"/>
            </w:pPr>
            <w:r>
              <w:t xml:space="preserve">Months 3-8</w:t>
            </w:r>
          </w:p>
        </w:tc>
      </w:tr>
      <w:tr>
        <w:tc>
          <w:tcPr/>
          <w:p>
            <w:pPr>
              <w:pStyle w:val="Compact"/>
              <w:jc w:val="left"/>
            </w:pPr>
            <w:r>
              <w:t xml:space="preserve">Endline Survey</w:t>
            </w:r>
          </w:p>
        </w:tc>
        <w:tc>
          <w:tcPr/>
          <w:p>
            <w:pPr>
              <w:pStyle w:val="Compact"/>
              <w:jc w:val="left"/>
            </w:pPr>
            <w:r>
              <w:t xml:space="preserve">Data Collectors</w:t>
            </w:r>
          </w:p>
        </w:tc>
        <w:tc>
          <w:tcPr/>
          <w:p>
            <w:pPr>
              <w:pStyle w:val="Compact"/>
              <w:jc w:val="left"/>
            </w:pPr>
            <w:r>
              <w:t xml:space="preserve">Months 9-10</w:t>
            </w:r>
          </w:p>
        </w:tc>
      </w:tr>
      <w:tr>
        <w:tc>
          <w:tcPr/>
          <w:p>
            <w:pPr>
              <w:pStyle w:val="Compact"/>
              <w:jc w:val="left"/>
            </w:pPr>
            <w:r>
              <w:t xml:space="preserve">Analysis &amp; Reporting</w:t>
            </w:r>
          </w:p>
        </w:tc>
        <w:tc>
          <w:tcPr/>
          <w:p>
            <w:pPr>
              <w:pStyle w:val="Compact"/>
              <w:jc w:val="left"/>
            </w:pPr>
            <w:r>
              <w:t xml:space="preserve">Lead</w:t>
            </w:r>
            <w:r>
              <w:t xml:space="preserve"> </w:t>
            </w:r>
            <w:r>
              <w:rPr>
                <w:bCs/>
                <w:b/>
              </w:rPr>
              <w:t xml:space="preserve">Economist</w:t>
            </w:r>
          </w:p>
        </w:tc>
        <w:tc>
          <w:tcPr/>
          <w:p>
            <w:pPr>
              <w:pStyle w:val="Compact"/>
              <w:jc w:val="left"/>
            </w:pPr>
            <w:r>
              <w:t xml:space="preserve">Months 11-12</w:t>
            </w:r>
          </w:p>
        </w:tc>
      </w:tr>
    </w:tbl>
    <w:p>
      <w:pPr>
        <w:pStyle w:val="BodyText"/>
      </w:pPr>
      <w:r>
        <w:rPr>
          <w:iCs/>
          <w:i/>
        </w:rPr>
        <w:t xml:space="preserve">Document Version 1.0. This</w:t>
      </w:r>
      <w:r>
        <w:rPr>
          <w:iCs/>
          <w:i/>
        </w:rPr>
        <w:t xml:space="preserve"> </w:t>
      </w:r>
      <w:r>
        <w:rPr>
          <w:bCs/>
          <w:b/>
          <w:iCs/>
          <w:i/>
        </w:rPr>
        <w:t xml:space="preserve">Experiment Protocol</w:t>
      </w:r>
      <w:r>
        <w:rPr>
          <w:iCs/>
          <w:i/>
        </w:rPr>
        <w:t xml:space="preserve"> </w:t>
      </w:r>
      <w:r>
        <w:rPr>
          <w:iCs/>
          <w:i/>
        </w:rPr>
        <w:t xml:space="preserve">is confidential and intended for use by the research team only. Any modifications must be approved by the Lead</w:t>
      </w:r>
      <w:r>
        <w:rPr>
          <w:iCs/>
          <w:i/>
        </w:rPr>
        <w:t xml:space="preserve"> </w:t>
      </w:r>
      <w:r>
        <w:rPr>
          <w:bCs/>
          <w:b/>
          <w:iCs/>
          <w:i/>
        </w:rPr>
        <w:t xml:space="preserve">Economist</w:t>
      </w:r>
      <w:r>
        <w:rPr>
          <w:iCs/>
          <w:i/>
        </w:rP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Urban India</dc:title>
  <dc:creator/>
  <dc:language>en</dc:language>
  <cp:keywords/>
  <dcterms:created xsi:type="dcterms:W3CDTF">2026-10-10T06:55:58Z</dcterms:created>
  <dcterms:modified xsi:type="dcterms:W3CDTF">2026-10-10T06:55:58Z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